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019D8" w14:textId="19752CF9" w:rsidR="0074754A" w:rsidRPr="0074754A" w:rsidRDefault="0074754A" w:rsidP="0074754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74754A">
        <w:rPr>
          <w:rFonts w:ascii="Arial" w:eastAsia="MS Mincho" w:hAnsi="Arial"/>
          <w:b/>
          <w:sz w:val="24"/>
          <w:szCs w:val="24"/>
          <w:lang w:eastAsia="x-none"/>
        </w:rPr>
        <w:t>3GPP TSG-RAN WG2 Meeting #131</w:t>
      </w:r>
      <w:r w:rsidRPr="0074754A">
        <w:rPr>
          <w:rFonts w:ascii="Arial" w:eastAsia="MS Mincho" w:hAnsi="Arial"/>
          <w:b/>
          <w:sz w:val="24"/>
          <w:szCs w:val="24"/>
          <w:lang w:eastAsia="x-none"/>
        </w:rPr>
        <w:tab/>
      </w:r>
      <w:r w:rsidR="0056677A" w:rsidRPr="0056677A">
        <w:rPr>
          <w:rFonts w:ascii="Arial" w:eastAsia="MS Mincho" w:hAnsi="Arial"/>
          <w:b/>
          <w:sz w:val="24"/>
          <w:szCs w:val="24"/>
          <w:lang w:eastAsia="x-none"/>
        </w:rPr>
        <w:t>R2-2505563</w:t>
      </w:r>
    </w:p>
    <w:p w14:paraId="577C7518" w14:textId="6B5390F3" w:rsidR="0074754A" w:rsidRPr="0074754A" w:rsidRDefault="00F853B9" w:rsidP="0074754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eastAsia="x-none"/>
        </w:rPr>
      </w:pPr>
      <w:r w:rsidRPr="00F853B9">
        <w:rPr>
          <w:rFonts w:ascii="Arial" w:eastAsia="MS Mincho" w:hAnsi="Arial"/>
          <w:b/>
          <w:sz w:val="24"/>
          <w:szCs w:val="24"/>
          <w:lang w:eastAsia="x-none"/>
        </w:rPr>
        <w:t>Bengaluru</w:t>
      </w:r>
      <w:r w:rsidR="0074754A" w:rsidRPr="0074754A">
        <w:rPr>
          <w:rFonts w:ascii="Arial" w:eastAsia="MS Mincho" w:hAnsi="Arial"/>
          <w:b/>
          <w:sz w:val="24"/>
          <w:szCs w:val="24"/>
          <w:lang w:eastAsia="x-none"/>
        </w:rPr>
        <w:t>, India</w:t>
      </w:r>
      <w:r>
        <w:rPr>
          <w:rFonts w:ascii="Arial" w:eastAsia="MS Mincho" w:hAnsi="Arial"/>
          <w:b/>
          <w:sz w:val="24"/>
          <w:szCs w:val="24"/>
          <w:lang w:eastAsia="x-none"/>
        </w:rPr>
        <w:t>,</w:t>
      </w:r>
      <w:r w:rsidR="0074754A" w:rsidRPr="0074754A">
        <w:rPr>
          <w:rFonts w:ascii="Arial" w:eastAsia="MS Mincho" w:hAnsi="Arial"/>
          <w:b/>
          <w:sz w:val="24"/>
          <w:szCs w:val="24"/>
          <w:lang w:eastAsia="x-none"/>
        </w:rPr>
        <w:t xml:space="preserve"> Aug 25</w:t>
      </w:r>
      <w:r w:rsidR="0074754A" w:rsidRPr="0074754A">
        <w:rPr>
          <w:rFonts w:ascii="Arial" w:eastAsia="MS Mincho" w:hAnsi="Arial"/>
          <w:b/>
          <w:sz w:val="24"/>
          <w:szCs w:val="24"/>
          <w:vertAlign w:val="superscript"/>
          <w:lang w:eastAsia="x-none"/>
        </w:rPr>
        <w:t>th</w:t>
      </w:r>
      <w:r w:rsidR="0074754A" w:rsidRPr="0074754A">
        <w:rPr>
          <w:rFonts w:ascii="Arial" w:eastAsia="MS Mincho" w:hAnsi="Arial"/>
          <w:b/>
          <w:sz w:val="24"/>
          <w:szCs w:val="24"/>
          <w:lang w:eastAsia="x-none"/>
        </w:rPr>
        <w:t xml:space="preserve"> – 29</w:t>
      </w:r>
      <w:r w:rsidR="0074754A" w:rsidRPr="0074754A">
        <w:rPr>
          <w:rFonts w:ascii="Arial" w:eastAsia="MS Mincho" w:hAnsi="Arial"/>
          <w:b/>
          <w:sz w:val="24"/>
          <w:szCs w:val="24"/>
          <w:vertAlign w:val="superscript"/>
          <w:lang w:eastAsia="x-none"/>
        </w:rPr>
        <w:t>th</w:t>
      </w:r>
      <w:r w:rsidR="0074754A" w:rsidRPr="0074754A">
        <w:rPr>
          <w:rFonts w:ascii="Arial" w:eastAsia="MS Mincho" w:hAnsi="Arial"/>
          <w:b/>
          <w:sz w:val="24"/>
          <w:szCs w:val="24"/>
          <w:lang w:eastAsia="x-none"/>
        </w:rPr>
        <w:t>, 2025</w:t>
      </w:r>
    </w:p>
    <w:p w14:paraId="5EA6181D" w14:textId="77777777" w:rsidR="00A720A3" w:rsidRPr="00A720A3" w:rsidRDefault="00A720A3" w:rsidP="00A720A3">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14:textId="333AB7BC" w:rsidR="00066595" w:rsidRPr="00066595" w:rsidRDefault="00066595" w:rsidP="00066595">
      <w:pPr>
        <w:tabs>
          <w:tab w:val="left" w:pos="1985"/>
        </w:tabs>
        <w:spacing w:line="240" w:lineRule="auto"/>
        <w:textAlignment w:val="auto"/>
        <w:rPr>
          <w:rFonts w:ascii="Arial" w:hAnsi="Arial" w:cs="Arial"/>
          <w:b/>
          <w:lang w:val="en-GB"/>
        </w:rPr>
      </w:pPr>
      <w:r w:rsidRPr="00066595">
        <w:rPr>
          <w:rFonts w:ascii="Arial" w:eastAsia="Times New Roman" w:hAnsi="Arial" w:cs="Arial"/>
          <w:b/>
          <w:lang w:val="en-GB" w:eastAsia="en-US"/>
        </w:rPr>
        <w:t xml:space="preserve">Source: </w:t>
      </w:r>
      <w:r w:rsidRPr="00066595">
        <w:rPr>
          <w:rFonts w:ascii="Arial" w:eastAsia="Times New Roman" w:hAnsi="Arial" w:cs="Arial"/>
          <w:b/>
          <w:lang w:val="en-GB" w:eastAsia="en-US"/>
        </w:rPr>
        <w:tab/>
      </w:r>
      <w:r w:rsidRPr="00066595">
        <w:rPr>
          <w:rFonts w:ascii="Arial" w:eastAsia="Times New Roman" w:hAnsi="Arial" w:cs="Arial"/>
          <w:lang w:val="en-GB" w:eastAsia="en-US"/>
        </w:rPr>
        <w:t>Huawei</w:t>
      </w:r>
      <w:r w:rsidRPr="00066595">
        <w:rPr>
          <w:rFonts w:ascii="Arial" w:hAnsi="Arial" w:cs="Arial"/>
          <w:lang w:val="en-GB"/>
        </w:rPr>
        <w:t>, HiSilicon</w:t>
      </w:r>
      <w:r w:rsidR="00D660F0">
        <w:rPr>
          <w:rFonts w:ascii="Arial" w:hAnsi="Arial" w:cs="Arial"/>
          <w:lang w:val="en-GB"/>
        </w:rPr>
        <w:t>,</w:t>
      </w:r>
      <w:r w:rsidR="006E7720">
        <w:rPr>
          <w:rFonts w:ascii="Arial" w:hAnsi="Arial" w:cs="Arial"/>
          <w:lang w:val="en-GB"/>
        </w:rPr>
        <w:t xml:space="preserve"> </w:t>
      </w:r>
      <w:r w:rsidR="006E7720" w:rsidRPr="006E7720">
        <w:rPr>
          <w:rFonts w:ascii="Arial" w:hAnsi="Arial" w:cs="Arial"/>
          <w:lang w:val="en-GB"/>
        </w:rPr>
        <w:t>China Telecom</w:t>
      </w:r>
    </w:p>
    <w:p w14:paraId="0C7A66E1" w14:textId="0FD9CEC9" w:rsidR="00066595" w:rsidRPr="00066595" w:rsidRDefault="00066595" w:rsidP="00066595">
      <w:pPr>
        <w:spacing w:line="240" w:lineRule="auto"/>
        <w:ind w:left="1985" w:hanging="1985"/>
        <w:jc w:val="left"/>
        <w:textAlignment w:val="auto"/>
        <w:rPr>
          <w:rFonts w:ascii="Arial" w:hAnsi="Arial" w:cs="Arial"/>
          <w:lang w:val="en-GB"/>
        </w:rPr>
      </w:pPr>
      <w:r w:rsidRPr="00066595">
        <w:rPr>
          <w:rFonts w:ascii="Arial" w:eastAsia="Times New Roman" w:hAnsi="Arial" w:cs="Arial"/>
          <w:b/>
          <w:lang w:val="en-GB" w:eastAsia="en-US"/>
        </w:rPr>
        <w:t>Title:</w:t>
      </w:r>
      <w:r w:rsidRPr="00066595">
        <w:rPr>
          <w:rFonts w:ascii="Arial" w:eastAsia="Times New Roman" w:hAnsi="Arial" w:cs="Arial"/>
          <w:lang w:val="en-GB" w:eastAsia="en-US"/>
        </w:rPr>
        <w:t xml:space="preserve"> </w:t>
      </w:r>
      <w:r w:rsidRPr="00066595">
        <w:rPr>
          <w:rFonts w:ascii="Arial" w:eastAsia="Times New Roman" w:hAnsi="Arial" w:cs="Arial"/>
          <w:lang w:val="en-GB" w:eastAsia="en-US"/>
        </w:rPr>
        <w:tab/>
      </w:r>
      <w:r w:rsidR="00225A55">
        <w:rPr>
          <w:rFonts w:ascii="Arial" w:hAnsi="Arial" w:cs="Arial"/>
          <w:lang w:val="en-GB"/>
        </w:rPr>
        <w:t>Remaining issues</w:t>
      </w:r>
      <w:r w:rsidRPr="00066595">
        <w:rPr>
          <w:rFonts w:ascii="Arial" w:hAnsi="Arial" w:cs="Arial"/>
          <w:lang w:val="en-GB"/>
        </w:rPr>
        <w:t xml:space="preserve"> on PWS support for NB-IoT</w:t>
      </w:r>
    </w:p>
    <w:p w14:paraId="4EC97D1C" w14:textId="4F561B71" w:rsidR="00066595"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Agen</w:t>
      </w:r>
      <w:r w:rsidRPr="00066595">
        <w:rPr>
          <w:rFonts w:ascii="Arial" w:hAnsi="Arial" w:cs="Arial"/>
          <w:b/>
          <w:lang w:val="en-GB"/>
        </w:rPr>
        <w:t>d</w:t>
      </w:r>
      <w:r w:rsidRPr="00066595">
        <w:rPr>
          <w:rFonts w:ascii="Arial" w:eastAsia="Times New Roman" w:hAnsi="Arial" w:cs="Arial"/>
          <w:b/>
          <w:lang w:val="en-GB" w:eastAsia="en-US"/>
        </w:rPr>
        <w:t>a Item:</w:t>
      </w:r>
      <w:r w:rsidRPr="00066595">
        <w:rPr>
          <w:rFonts w:ascii="Arial" w:eastAsia="Times New Roman" w:hAnsi="Arial" w:cs="Arial"/>
          <w:lang w:val="en-GB" w:eastAsia="en-US"/>
        </w:rPr>
        <w:tab/>
        <w:t>8.</w:t>
      </w:r>
      <w:r>
        <w:rPr>
          <w:rFonts w:ascii="Arial" w:eastAsia="Times New Roman" w:hAnsi="Arial" w:cs="Arial"/>
          <w:lang w:val="en-GB" w:eastAsia="en-US"/>
        </w:rPr>
        <w:t>9</w:t>
      </w:r>
      <w:r w:rsidRPr="00066595">
        <w:rPr>
          <w:rFonts w:ascii="Arial" w:eastAsia="Times New Roman" w:hAnsi="Arial" w:cs="Arial"/>
          <w:lang w:val="en-GB" w:eastAsia="en-US"/>
        </w:rPr>
        <w:t>.4</w:t>
      </w:r>
    </w:p>
    <w:p w14:paraId="697A413A" w14:textId="3E1FFD3B" w:rsidR="00213DE8"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Document for:</w:t>
      </w:r>
      <w:r w:rsidRPr="00066595">
        <w:rPr>
          <w:rFonts w:ascii="Arial" w:eastAsia="Times New Roman" w:hAnsi="Arial" w:cs="Arial"/>
          <w:lang w:val="en-GB" w:eastAsia="en-US"/>
        </w:rPr>
        <w:tab/>
      </w:r>
      <w:r w:rsidRPr="00066595">
        <w:rPr>
          <w:rFonts w:ascii="Arial" w:hAnsi="Arial" w:cs="Arial"/>
          <w:lang w:val="en-GB"/>
        </w:rPr>
        <w:t>Discussion and decision</w:t>
      </w:r>
    </w:p>
    <w:p w14:paraId="1AF99BD6" w14:textId="77777777" w:rsidR="0083240D" w:rsidRPr="008E5499"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172224A4" w:rsidR="002C5E30" w:rsidRPr="00B222AE" w:rsidRDefault="00292A07" w:rsidP="00C80C78">
      <w:pPr>
        <w:spacing w:line="240" w:lineRule="auto"/>
        <w:rPr>
          <w:rFonts w:eastAsiaTheme="minorEastAsia"/>
          <w:bCs/>
          <w:szCs w:val="22"/>
        </w:rPr>
      </w:pPr>
      <w:r>
        <w:rPr>
          <w:rFonts w:eastAsiaTheme="minorEastAsia"/>
        </w:rPr>
        <w:t xml:space="preserve">The WID [1] </w:t>
      </w:r>
      <w:r w:rsidR="00C7480A">
        <w:rPr>
          <w:rFonts w:eastAsiaTheme="minorEastAsia"/>
          <w:bCs/>
          <w:szCs w:val="22"/>
        </w:rPr>
        <w:t>support</w:t>
      </w:r>
      <w:r w:rsidR="001E7D60">
        <w:rPr>
          <w:rFonts w:eastAsiaTheme="minorEastAsia"/>
          <w:bCs/>
          <w:szCs w:val="22"/>
        </w:rPr>
        <w:t xml:space="preserve">s </w:t>
      </w:r>
      <w:r w:rsidR="003E33C5">
        <w:rPr>
          <w:rFonts w:eastAsiaTheme="minorEastAsia"/>
          <w:bCs/>
          <w:szCs w:val="22"/>
        </w:rPr>
        <w:t>PWS for NB-</w:t>
      </w:r>
      <w:r w:rsidR="00184EA7">
        <w:rPr>
          <w:rFonts w:eastAsiaTheme="minorEastAsia"/>
          <w:bCs/>
          <w:szCs w:val="22"/>
        </w:rPr>
        <w:t xml:space="preserve">IoT </w:t>
      </w:r>
      <w:r w:rsidR="001E7D60">
        <w:rPr>
          <w:rFonts w:eastAsiaTheme="minorEastAsia"/>
          <w:bCs/>
          <w:szCs w:val="22"/>
        </w:rPr>
        <w:t>with the following description</w:t>
      </w:r>
      <w:r w:rsidR="00184EA7">
        <w:rPr>
          <w:rFonts w:eastAsiaTheme="minorEastAsia"/>
          <w:bCs/>
          <w:szCs w:val="22"/>
        </w:rPr>
        <w:t>s</w:t>
      </w:r>
      <w:r>
        <w:rPr>
          <w:rFonts w:eastAsiaTheme="minorEastAsia"/>
          <w:bCs/>
          <w:szCs w:val="22"/>
        </w:rPr>
        <w:t>:</w:t>
      </w:r>
    </w:p>
    <w:tbl>
      <w:tblPr>
        <w:tblStyle w:val="TableGrid"/>
        <w:tblW w:w="9214" w:type="dxa"/>
        <w:tblInd w:w="562" w:type="dxa"/>
        <w:tblLook w:val="04A0" w:firstRow="1" w:lastRow="0" w:firstColumn="1" w:lastColumn="0" w:noHBand="0" w:noVBand="1"/>
      </w:tblPr>
      <w:tblGrid>
        <w:gridCol w:w="9214"/>
      </w:tblGrid>
      <w:tr w:rsidR="002C5E30" w:rsidRPr="00B222AE" w14:paraId="11798EFD" w14:textId="77777777" w:rsidTr="00747014">
        <w:tc>
          <w:tcPr>
            <w:tcW w:w="9214" w:type="dxa"/>
          </w:tcPr>
          <w:p w14:paraId="2A1A4D14" w14:textId="77777777" w:rsidR="003E33C5" w:rsidRPr="00D75BCD" w:rsidRDefault="003E33C5" w:rsidP="003E33C5">
            <w:pPr>
              <w:numPr>
                <w:ilvl w:val="0"/>
                <w:numId w:val="29"/>
              </w:numPr>
              <w:spacing w:line="240" w:lineRule="auto"/>
              <w:jc w:val="left"/>
              <w:rPr>
                <w:bCs/>
              </w:rPr>
            </w:pPr>
            <w:bookmarkStart w:id="0" w:name="OLE_LINK79"/>
            <w:r w:rsidRPr="00D75BCD">
              <w:rPr>
                <w:bCs/>
              </w:rPr>
              <w:t>Support broadcast of PWS messages for NB-IoT re-using the LTE mechanisms [RAN2]</w:t>
            </w:r>
            <w:bookmarkEnd w:id="0"/>
          </w:p>
          <w:p w14:paraId="05D99E76" w14:textId="35DB81C6" w:rsidR="00C7480A" w:rsidRDefault="003E33C5" w:rsidP="003E33C5">
            <w:pPr>
              <w:spacing w:after="0"/>
              <w:ind w:left="720"/>
              <w:rPr>
                <w:bCs/>
              </w:rPr>
            </w:pPr>
            <w:r>
              <w:rPr>
                <w:bCs/>
              </w:rPr>
              <w:t xml:space="preserve">Note: </w:t>
            </w:r>
            <w:bookmarkStart w:id="1" w:name="OLE_LINK22"/>
            <w:r w:rsidRPr="006648AB">
              <w:rPr>
                <w:bCs/>
              </w:rPr>
              <w:t>The solutions will be developed for NTN but can be applicable to TN (if possible</w:t>
            </w:r>
            <w:bookmarkEnd w:id="1"/>
            <w:r w:rsidRPr="006648AB">
              <w:rPr>
                <w:bCs/>
              </w:rPr>
              <w:t xml:space="preserve">). </w:t>
            </w:r>
            <w:bookmarkStart w:id="2" w:name="OLE_LINK25"/>
            <w:r w:rsidRPr="006648AB">
              <w:rPr>
                <w:bCs/>
              </w:rPr>
              <w:t>Specific NB-IoT TN optimizations will not be considered as part of this WI</w:t>
            </w:r>
            <w:bookmarkEnd w:id="2"/>
            <w:r w:rsidRPr="006648AB">
              <w:rPr>
                <w:bCs/>
              </w:rPr>
              <w:t>.</w:t>
            </w:r>
          </w:p>
          <w:p w14:paraId="5618D393" w14:textId="1839CCE7" w:rsidR="001B75B4" w:rsidRPr="003E33C5" w:rsidRDefault="003E33C5" w:rsidP="003E33C5">
            <w:pPr>
              <w:spacing w:after="0"/>
              <w:ind w:left="720"/>
              <w:rPr>
                <w:bCs/>
              </w:rPr>
            </w:pPr>
            <w:r>
              <w:rPr>
                <w:bCs/>
              </w:rPr>
              <w:t xml:space="preserve">Note: </w:t>
            </w:r>
            <w:bookmarkStart w:id="3" w:name="OLE_LINK31"/>
            <w:bookmarkStart w:id="4" w:name="OLE_LINK28"/>
            <w:r w:rsidRPr="00AB68A3">
              <w:rPr>
                <w:bCs/>
              </w:rPr>
              <w:t xml:space="preserve">Support for </w:t>
            </w:r>
            <w:bookmarkStart w:id="5" w:name="OLE_LINK32"/>
            <w:r w:rsidRPr="00AB68A3">
              <w:rPr>
                <w:bCs/>
              </w:rPr>
              <w:t>indication of intended service area</w:t>
            </w:r>
            <w:bookmarkEnd w:id="5"/>
            <w:r w:rsidRPr="00AB68A3">
              <w:rPr>
                <w:bCs/>
              </w:rPr>
              <w:t xml:space="preserve"> </w:t>
            </w:r>
            <w:bookmarkEnd w:id="3"/>
            <w:r>
              <w:rPr>
                <w:bCs/>
              </w:rPr>
              <w:t xml:space="preserve">for ETWS </w:t>
            </w:r>
            <w:r w:rsidRPr="00AB68A3">
              <w:rPr>
                <w:bCs/>
              </w:rPr>
              <w:t>will be considered based on NR NTN discussions</w:t>
            </w:r>
            <w:bookmarkEnd w:id="4"/>
            <w:r w:rsidRPr="00AB68A3">
              <w:rPr>
                <w:bCs/>
              </w:rPr>
              <w:t xml:space="preserve">/outcome. </w:t>
            </w:r>
          </w:p>
        </w:tc>
      </w:tr>
    </w:tbl>
    <w:p w14:paraId="6CE2F66E" w14:textId="3805F7C5" w:rsidR="00127774" w:rsidRPr="00CC6C12" w:rsidRDefault="00127774" w:rsidP="008227E4">
      <w:pPr>
        <w:pStyle w:val="B1"/>
        <w:spacing w:before="312"/>
        <w:ind w:left="0" w:firstLine="0"/>
        <w:rPr>
          <w:rFonts w:eastAsia="SimSun"/>
          <w:sz w:val="22"/>
          <w:lang w:val="en-US" w:eastAsia="zh-CN"/>
        </w:rPr>
      </w:pPr>
      <w:r w:rsidRPr="0088640C">
        <w:rPr>
          <w:rFonts w:eastAsia="SimSun"/>
          <w:sz w:val="22"/>
          <w:lang w:val="en-US" w:eastAsia="zh-CN"/>
        </w:rPr>
        <w:t xml:space="preserve">In this contribution, we </w:t>
      </w:r>
      <w:r>
        <w:rPr>
          <w:rFonts w:eastAsia="SimSun"/>
          <w:sz w:val="22"/>
          <w:lang w:val="en-US" w:eastAsia="zh-CN"/>
        </w:rPr>
        <w:t xml:space="preserve">provide our consideration on </w:t>
      </w:r>
      <w:r w:rsidR="00B5675C">
        <w:rPr>
          <w:rFonts w:eastAsia="SimSun"/>
          <w:sz w:val="22"/>
          <w:lang w:val="en-US" w:eastAsia="zh-CN"/>
        </w:rPr>
        <w:t xml:space="preserve">the two </w:t>
      </w:r>
      <w:r w:rsidR="00D6063B">
        <w:rPr>
          <w:rFonts w:eastAsia="SimSun"/>
          <w:sz w:val="22"/>
          <w:lang w:val="en-US" w:eastAsia="zh-CN"/>
        </w:rPr>
        <w:t xml:space="preserve">RRC </w:t>
      </w:r>
      <w:r w:rsidR="00B5675C">
        <w:rPr>
          <w:rFonts w:eastAsia="SimSun"/>
          <w:sz w:val="22"/>
          <w:lang w:val="en-US" w:eastAsia="zh-CN"/>
        </w:rPr>
        <w:t xml:space="preserve">open issues listed in [2], i.e. </w:t>
      </w:r>
      <w:r w:rsidR="00B86748">
        <w:rPr>
          <w:rFonts w:eastAsia="SimSun"/>
          <w:sz w:val="22"/>
          <w:lang w:val="en-US" w:eastAsia="zh-CN"/>
        </w:rPr>
        <w:t xml:space="preserve">the </w:t>
      </w:r>
      <w:r w:rsidR="00AE6659">
        <w:rPr>
          <w:rFonts w:eastAsia="SimSun"/>
          <w:sz w:val="22"/>
          <w:lang w:val="en-US" w:eastAsia="zh-CN"/>
        </w:rPr>
        <w:t xml:space="preserve">assembling </w:t>
      </w:r>
      <w:r w:rsidR="00B86748">
        <w:rPr>
          <w:rFonts w:eastAsia="SimSun"/>
          <w:sz w:val="22"/>
          <w:lang w:val="en-US" w:eastAsia="zh-CN"/>
        </w:rPr>
        <w:t xml:space="preserve">of </w:t>
      </w:r>
      <w:r w:rsidR="00B5675C">
        <w:rPr>
          <w:rFonts w:eastAsia="SimSun"/>
          <w:sz w:val="22"/>
          <w:lang w:val="en-US" w:eastAsia="zh-CN"/>
        </w:rPr>
        <w:t xml:space="preserve">PWS segments from different cells, and </w:t>
      </w:r>
      <w:r w:rsidR="00B86748">
        <w:rPr>
          <w:rFonts w:eastAsia="SimSun"/>
          <w:sz w:val="22"/>
          <w:lang w:val="en-US" w:eastAsia="zh-CN"/>
        </w:rPr>
        <w:t xml:space="preserve">the skipping of </w:t>
      </w:r>
      <w:r w:rsidR="00B5675C">
        <w:rPr>
          <w:rFonts w:eastAsia="SimSun"/>
          <w:sz w:val="22"/>
          <w:lang w:val="en-US" w:eastAsia="zh-CN"/>
        </w:rPr>
        <w:t>SIB1-NB, to e</w:t>
      </w:r>
      <w:r w:rsidR="00B5675C" w:rsidRPr="00DF6F01">
        <w:rPr>
          <w:rFonts w:eastAsia="SimSun"/>
          <w:sz w:val="22"/>
          <w:lang w:val="en-US" w:eastAsia="zh-CN"/>
        </w:rPr>
        <w:t>nsur</w:t>
      </w:r>
      <w:r w:rsidR="00B5675C">
        <w:rPr>
          <w:rFonts w:eastAsia="SimSun"/>
          <w:sz w:val="22"/>
          <w:lang w:val="en-US" w:eastAsia="zh-CN"/>
        </w:rPr>
        <w:t>e</w:t>
      </w:r>
      <w:r w:rsidR="00B5675C" w:rsidRPr="00DF6F01">
        <w:rPr>
          <w:rFonts w:eastAsia="SimSun"/>
          <w:sz w:val="22"/>
          <w:lang w:val="en-US" w:eastAsia="zh-CN"/>
        </w:rPr>
        <w:t xml:space="preserve"> PWS message delivery </w:t>
      </w:r>
      <w:r w:rsidR="00B5675C">
        <w:rPr>
          <w:rFonts w:eastAsia="SimSun" w:hint="eastAsia"/>
          <w:sz w:val="22"/>
          <w:lang w:val="en-US" w:eastAsia="zh-CN"/>
        </w:rPr>
        <w:t>in</w:t>
      </w:r>
      <w:r w:rsidR="00B5675C">
        <w:rPr>
          <w:rFonts w:eastAsia="SimSun"/>
          <w:sz w:val="22"/>
          <w:lang w:val="en-US" w:eastAsia="zh-CN"/>
        </w:rPr>
        <w:t xml:space="preserve"> </w:t>
      </w:r>
      <w:r w:rsidR="00B5675C">
        <w:rPr>
          <w:rFonts w:eastAsia="SimSun" w:hint="eastAsia"/>
          <w:sz w:val="22"/>
          <w:lang w:val="en-US" w:eastAsia="zh-CN"/>
        </w:rPr>
        <w:t>a</w:t>
      </w:r>
      <w:r w:rsidR="00B5675C">
        <w:rPr>
          <w:rFonts w:eastAsia="SimSun"/>
          <w:sz w:val="22"/>
          <w:lang w:val="en-US" w:eastAsia="zh-CN"/>
        </w:rPr>
        <w:t xml:space="preserve"> time efficient manner.</w:t>
      </w:r>
    </w:p>
    <w:p w14:paraId="6D3C4B43" w14:textId="60659594" w:rsidR="00333AFF" w:rsidRPr="008227E4" w:rsidRDefault="0083240D" w:rsidP="008227E4">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6" w:name="OLE_LINK139"/>
      <w:bookmarkStart w:id="7" w:name="OLE_LINK140"/>
    </w:p>
    <w:p w14:paraId="5BDFD60E" w14:textId="57FF06C6" w:rsidR="00B5675C" w:rsidRPr="00B5675C" w:rsidRDefault="00B5675C" w:rsidP="00B5675C">
      <w:pPr>
        <w:spacing w:after="120"/>
        <w:outlineLvl w:val="1"/>
        <w:rPr>
          <w:rFonts w:ascii="Arial" w:hAnsi="Arial"/>
          <w:sz w:val="24"/>
          <w:szCs w:val="22"/>
        </w:rPr>
      </w:pPr>
      <w:r w:rsidRPr="00B5675C">
        <w:rPr>
          <w:rFonts w:ascii="Arial" w:hAnsi="Arial"/>
          <w:sz w:val="24"/>
          <w:szCs w:val="22"/>
        </w:rPr>
        <w:t>2.</w:t>
      </w:r>
      <w:r>
        <w:rPr>
          <w:rFonts w:ascii="Arial" w:hAnsi="Arial"/>
          <w:sz w:val="24"/>
          <w:szCs w:val="22"/>
        </w:rPr>
        <w:t>1</w:t>
      </w:r>
      <w:r w:rsidR="00813B4B">
        <w:rPr>
          <w:rFonts w:ascii="Arial" w:hAnsi="Arial"/>
          <w:sz w:val="24"/>
          <w:szCs w:val="22"/>
        </w:rPr>
        <w:t xml:space="preserve"> </w:t>
      </w:r>
      <w:r w:rsidR="00813B4B" w:rsidRPr="00813B4B">
        <w:rPr>
          <w:rFonts w:ascii="Arial" w:hAnsi="Arial"/>
          <w:sz w:val="24"/>
          <w:szCs w:val="22"/>
        </w:rPr>
        <w:t>(RRC-</w:t>
      </w:r>
      <w:r w:rsidR="00D93C90">
        <w:rPr>
          <w:rFonts w:ascii="Arial" w:hAnsi="Arial"/>
          <w:sz w:val="24"/>
          <w:szCs w:val="22"/>
        </w:rPr>
        <w:t>3</w:t>
      </w:r>
      <w:r w:rsidR="00813B4B" w:rsidRPr="00813B4B">
        <w:rPr>
          <w:rFonts w:ascii="Arial" w:hAnsi="Arial"/>
          <w:sz w:val="24"/>
          <w:szCs w:val="22"/>
        </w:rPr>
        <w:t>)</w:t>
      </w:r>
      <w:r w:rsidRPr="00B5675C">
        <w:rPr>
          <w:rFonts w:ascii="Arial" w:hAnsi="Arial"/>
          <w:sz w:val="24"/>
          <w:szCs w:val="22"/>
        </w:rPr>
        <w:t xml:space="preserve"> PWS reception across different cells</w:t>
      </w:r>
    </w:p>
    <w:p w14:paraId="2F1814C7" w14:textId="77777777" w:rsidR="008C3D5C" w:rsidRDefault="00B5675C" w:rsidP="008C3D5C">
      <w:pPr>
        <w:spacing w:line="240" w:lineRule="auto"/>
      </w:pPr>
      <w:r>
        <w:t xml:space="preserve">It may be difficult for the UE to receive all the PWS segments from one serving cell due to limited serving time per cell in NTN, especially in the </w:t>
      </w:r>
      <w:r w:rsidRPr="00557FC8">
        <w:t>earth moving cell scenario</w:t>
      </w:r>
      <w:r>
        <w:t xml:space="preserve">. According to TS 36.331, when a UE moves to a new cell, </w:t>
      </w:r>
      <w:r>
        <w:rPr>
          <w:rFonts w:hint="eastAsia"/>
        </w:rPr>
        <w:t>the</w:t>
      </w:r>
      <w:r>
        <w:t xml:space="preserve"> UE discards the previously buffered PWS segments. If a cell change occurs frequently, the latency of </w:t>
      </w:r>
      <w:r w:rsidRPr="00DF6F01">
        <w:t>deliver</w:t>
      </w:r>
      <w:r>
        <w:t xml:space="preserve">ing </w:t>
      </w:r>
      <w:r>
        <w:rPr>
          <w:rFonts w:hint="eastAsia"/>
        </w:rPr>
        <w:t>all</w:t>
      </w:r>
      <w:r>
        <w:t xml:space="preserve"> PWS segments </w:t>
      </w:r>
      <w:r>
        <w:rPr>
          <w:rFonts w:hint="eastAsia"/>
        </w:rPr>
        <w:t>could</w:t>
      </w:r>
      <w:r>
        <w:t xml:space="preserve"> be extended significantly and hard to estimate, also resulting in increased UE power consumption. What is worse, a UE may miss some segments already after switching to a new cell and there might not be enough time for the UE to receive all the segments in this cell, causing PWS reception failure. </w:t>
      </w:r>
    </w:p>
    <w:p w14:paraId="71908ADE" w14:textId="49E1E411" w:rsidR="001F2CEB" w:rsidRDefault="00B5675C" w:rsidP="008C3D5C">
      <w:pPr>
        <w:spacing w:line="240" w:lineRule="auto"/>
      </w:pPr>
      <w:r w:rsidRPr="00097FB9">
        <w:t xml:space="preserve">In order to increase the probability of timely delivering all PWS segments for one PWS message, it is beneficial to introduce inter-cell PWS segment reception. </w:t>
      </w:r>
      <w:r w:rsidR="001F2CEB">
        <w:rPr>
          <w:rFonts w:hint="eastAsia"/>
        </w:rPr>
        <w:t>T</w:t>
      </w:r>
      <w:r w:rsidR="001F2CEB">
        <w:t>he RAN2#130 meeting has achieved the following agreement:</w:t>
      </w:r>
    </w:p>
    <w:p w14:paraId="4E8CBDC6" w14:textId="77777777" w:rsidR="001F2CEB" w:rsidRDefault="001F2CEB" w:rsidP="001F2CEB">
      <w:pPr>
        <w:pStyle w:val="Doc-text2"/>
        <w:pBdr>
          <w:top w:val="single" w:sz="4" w:space="1" w:color="auto"/>
          <w:left w:val="single" w:sz="4" w:space="4" w:color="auto"/>
          <w:bottom w:val="single" w:sz="4" w:space="1" w:color="auto"/>
          <w:right w:val="single" w:sz="4" w:space="4" w:color="auto"/>
        </w:pBdr>
        <w:tabs>
          <w:tab w:val="clear" w:pos="1622"/>
        </w:tabs>
        <w:ind w:left="1259" w:firstLine="0"/>
      </w:pPr>
      <w:r>
        <w:t>Agreements:</w:t>
      </w:r>
      <w:r w:rsidRPr="001F2CEB">
        <w:t xml:space="preserve"> </w:t>
      </w:r>
    </w:p>
    <w:p w14:paraId="116883AF" w14:textId="56E5E4F1" w:rsidR="001F2CEB" w:rsidRPr="001F2CEB" w:rsidRDefault="001F2CEB" w:rsidP="001F2CEB">
      <w:pPr>
        <w:pStyle w:val="Doc-text2"/>
        <w:pBdr>
          <w:top w:val="single" w:sz="4" w:space="1" w:color="auto"/>
          <w:left w:val="single" w:sz="4" w:space="4" w:color="auto"/>
          <w:bottom w:val="single" w:sz="4" w:space="1" w:color="auto"/>
          <w:right w:val="single" w:sz="4" w:space="4" w:color="auto"/>
        </w:pBdr>
        <w:tabs>
          <w:tab w:val="clear" w:pos="1622"/>
        </w:tabs>
        <w:ind w:left="1259" w:firstLine="0"/>
      </w:pPr>
      <w:r>
        <w:lastRenderedPageBreak/>
        <w:t>Regarding s</w:t>
      </w:r>
      <w:r w:rsidRPr="0036558A">
        <w:t>upport continued reception of PWS segmentation of a message from different cells</w:t>
      </w:r>
      <w:r>
        <w:t>, c</w:t>
      </w:r>
      <w:r w:rsidRPr="0036558A">
        <w:t>an come back in the next meeting with an actual TP. In any case we will not target other s</w:t>
      </w:r>
      <w:r>
        <w:t>cenarios than the intra-gNB case</w:t>
      </w:r>
    </w:p>
    <w:p w14:paraId="660F8D7C" w14:textId="679C42C5" w:rsidR="00A90D36" w:rsidRDefault="00B5675C" w:rsidP="00A84421">
      <w:pPr>
        <w:spacing w:before="120" w:after="120" w:line="240" w:lineRule="auto"/>
        <w:rPr>
          <w:iCs/>
          <w:kern w:val="2"/>
        </w:rPr>
      </w:pPr>
      <w:r>
        <w:t>Specifically,</w:t>
      </w:r>
      <w:r w:rsidRPr="00B5675C">
        <w:rPr>
          <w:iCs/>
          <w:kern w:val="2"/>
        </w:rPr>
        <w:t xml:space="preserve"> RAN could indicate to the UE </w:t>
      </w:r>
      <w:r w:rsidR="0013793C">
        <w:rPr>
          <w:iCs/>
          <w:kern w:val="2"/>
        </w:rPr>
        <w:t xml:space="preserve">whether </w:t>
      </w:r>
      <w:r w:rsidRPr="00B5675C">
        <w:rPr>
          <w:iCs/>
          <w:kern w:val="2"/>
        </w:rPr>
        <w:t xml:space="preserve">it can assemble the PWS segments </w:t>
      </w:r>
      <w:r w:rsidR="001F2CEB">
        <w:rPr>
          <w:iCs/>
          <w:kern w:val="2"/>
        </w:rPr>
        <w:t xml:space="preserve">during </w:t>
      </w:r>
      <w:r w:rsidR="0013793C">
        <w:rPr>
          <w:iCs/>
          <w:kern w:val="2"/>
        </w:rPr>
        <w:t>intra-</w:t>
      </w:r>
      <w:r w:rsidR="00C346D1">
        <w:rPr>
          <w:iCs/>
          <w:kern w:val="2"/>
        </w:rPr>
        <w:t>e</w:t>
      </w:r>
      <w:r w:rsidR="0013793C">
        <w:rPr>
          <w:iCs/>
          <w:kern w:val="2"/>
        </w:rPr>
        <w:t xml:space="preserve">NB </w:t>
      </w:r>
      <w:r w:rsidR="001F2CEB">
        <w:rPr>
          <w:iCs/>
          <w:kern w:val="2"/>
        </w:rPr>
        <w:t>mobility</w:t>
      </w:r>
      <w:r w:rsidR="001F2CEB" w:rsidRPr="00B5675C">
        <w:rPr>
          <w:iCs/>
          <w:kern w:val="2"/>
        </w:rPr>
        <w:t xml:space="preserve"> </w:t>
      </w:r>
      <w:r w:rsidRPr="00B5675C">
        <w:rPr>
          <w:iCs/>
          <w:kern w:val="2"/>
        </w:rPr>
        <w:t>to avoid PWS reception latency or failure. The UE would then decide whether to keep the previously buffered PWS segments or discard them after switching to a new cell, depending on whether the source cell and the target cell belong to the</w:t>
      </w:r>
      <w:r w:rsidR="001F2CEB">
        <w:rPr>
          <w:iCs/>
          <w:kern w:val="2"/>
        </w:rPr>
        <w:t xml:space="preserve"> </w:t>
      </w:r>
      <w:r w:rsidR="0013793C">
        <w:rPr>
          <w:iCs/>
          <w:kern w:val="2"/>
        </w:rPr>
        <w:t xml:space="preserve">same </w:t>
      </w:r>
      <w:r w:rsidR="00C346D1">
        <w:rPr>
          <w:iCs/>
          <w:kern w:val="2"/>
        </w:rPr>
        <w:t>e</w:t>
      </w:r>
      <w:r w:rsidR="0013793C">
        <w:rPr>
          <w:iCs/>
          <w:kern w:val="2"/>
        </w:rPr>
        <w:t>NB</w:t>
      </w:r>
      <w:r w:rsidRPr="00B5675C">
        <w:rPr>
          <w:iCs/>
          <w:kern w:val="2"/>
        </w:rPr>
        <w:t xml:space="preserve">. </w:t>
      </w:r>
    </w:p>
    <w:p w14:paraId="08658BE5" w14:textId="70BA7D72" w:rsidR="00B5675C" w:rsidRPr="00B5675C" w:rsidRDefault="0013793C" w:rsidP="00B5675C">
      <w:pPr>
        <w:jc w:val="center"/>
        <w:rPr>
          <w:iCs/>
          <w:kern w:val="2"/>
        </w:rPr>
      </w:pPr>
      <w:r>
        <w:rPr>
          <w:noProof/>
        </w:rPr>
        <w:drawing>
          <wp:inline distT="0" distB="0" distL="0" distR="0" wp14:anchorId="55C16068" wp14:editId="769C4ABF">
            <wp:extent cx="3737113" cy="1807479"/>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262" cy="1809002"/>
                    </a:xfrm>
                    <a:prstGeom prst="rect">
                      <a:avLst/>
                    </a:prstGeom>
                    <a:noFill/>
                    <a:ln>
                      <a:noFill/>
                    </a:ln>
                  </pic:spPr>
                </pic:pic>
              </a:graphicData>
            </a:graphic>
          </wp:inline>
        </w:drawing>
      </w:r>
    </w:p>
    <w:p w14:paraId="3AB490EE" w14:textId="3DF5B50D" w:rsidR="00B5675C" w:rsidRDefault="00B5675C" w:rsidP="00B5675C">
      <w:pPr>
        <w:jc w:val="center"/>
        <w:rPr>
          <w:iCs/>
          <w:kern w:val="2"/>
        </w:rPr>
      </w:pPr>
      <w:r w:rsidRPr="00B5675C">
        <w:rPr>
          <w:iCs/>
          <w:kern w:val="2"/>
        </w:rPr>
        <w:t xml:space="preserve">Fig1. </w:t>
      </w:r>
      <w:r w:rsidR="00065385">
        <w:rPr>
          <w:iCs/>
          <w:kern w:val="2"/>
        </w:rPr>
        <w:t>Intra-</w:t>
      </w:r>
      <w:r w:rsidR="00314E7E">
        <w:rPr>
          <w:iCs/>
          <w:kern w:val="2"/>
        </w:rPr>
        <w:t>e</w:t>
      </w:r>
      <w:r w:rsidR="00065385">
        <w:rPr>
          <w:iCs/>
          <w:kern w:val="2"/>
        </w:rPr>
        <w:t xml:space="preserve">NB </w:t>
      </w:r>
      <w:r w:rsidR="0013793C">
        <w:rPr>
          <w:iCs/>
          <w:kern w:val="2"/>
        </w:rPr>
        <w:t xml:space="preserve">target area </w:t>
      </w:r>
      <w:r w:rsidR="0013793C" w:rsidRPr="0013793C">
        <w:rPr>
          <w:iCs/>
          <w:kern w:val="2"/>
        </w:rPr>
        <w:t xml:space="preserve">for continued PWS reception across cells </w:t>
      </w:r>
    </w:p>
    <w:p w14:paraId="48057817" w14:textId="3040BC1E" w:rsidR="006E00E0" w:rsidRDefault="0091271D" w:rsidP="00314E7E">
      <w:pPr>
        <w:spacing w:line="240" w:lineRule="auto"/>
        <w:rPr>
          <w:iCs/>
          <w:kern w:val="2"/>
        </w:rPr>
      </w:pPr>
      <w:r>
        <w:rPr>
          <w:iCs/>
          <w:kern w:val="2"/>
        </w:rPr>
        <w:t>We can identify at least</w:t>
      </w:r>
      <w:r w:rsidR="006E00E0">
        <w:rPr>
          <w:iCs/>
          <w:kern w:val="2"/>
        </w:rPr>
        <w:t xml:space="preserve"> are two alternatives to indicate the </w:t>
      </w:r>
      <w:r w:rsidR="00C346D1">
        <w:rPr>
          <w:iCs/>
          <w:kern w:val="2"/>
        </w:rPr>
        <w:t>inter-cell PWS segment reception</w:t>
      </w:r>
      <w:r w:rsidR="006E00E0">
        <w:rPr>
          <w:iCs/>
          <w:kern w:val="2"/>
        </w:rPr>
        <w:t>:</w:t>
      </w:r>
    </w:p>
    <w:p w14:paraId="35CB9935" w14:textId="50BEC25F" w:rsidR="006E00E0" w:rsidRDefault="006E00E0" w:rsidP="00314E7E">
      <w:pPr>
        <w:spacing w:line="240" w:lineRule="auto"/>
        <w:rPr>
          <w:iCs/>
          <w:kern w:val="2"/>
        </w:rPr>
      </w:pPr>
      <w:r>
        <w:rPr>
          <w:rFonts w:hint="eastAsia"/>
          <w:iCs/>
          <w:kern w:val="2"/>
        </w:rPr>
        <w:t>A</w:t>
      </w:r>
      <w:r>
        <w:rPr>
          <w:iCs/>
          <w:kern w:val="2"/>
        </w:rPr>
        <w:t>lt</w:t>
      </w:r>
      <w:r w:rsidR="0091271D">
        <w:rPr>
          <w:iCs/>
          <w:kern w:val="2"/>
        </w:rPr>
        <w:t xml:space="preserve"> </w:t>
      </w:r>
      <w:r>
        <w:rPr>
          <w:iCs/>
          <w:kern w:val="2"/>
        </w:rPr>
        <w:t xml:space="preserve">1. </w:t>
      </w:r>
      <w:r w:rsidR="00C346D1">
        <w:rPr>
          <w:iCs/>
          <w:kern w:val="2"/>
        </w:rPr>
        <w:t>SIB1-NB</w:t>
      </w:r>
      <w:r w:rsidR="008C3D5C">
        <w:rPr>
          <w:iCs/>
          <w:kern w:val="2"/>
        </w:rPr>
        <w:t>,</w:t>
      </w:r>
      <w:r w:rsidR="0091271D">
        <w:rPr>
          <w:iCs/>
          <w:kern w:val="2"/>
        </w:rPr>
        <w:t xml:space="preserve"> </w:t>
      </w:r>
      <w:r w:rsidR="008C3D5C">
        <w:rPr>
          <w:iCs/>
          <w:kern w:val="2"/>
        </w:rPr>
        <w:t>o</w:t>
      </w:r>
      <w:r>
        <w:rPr>
          <w:iCs/>
          <w:kern w:val="2"/>
        </w:rPr>
        <w:t xml:space="preserve">nce the scheduling info for SIB11-NB/SIB12-NB </w:t>
      </w:r>
      <w:r>
        <w:rPr>
          <w:rFonts w:hint="eastAsia"/>
          <w:iCs/>
          <w:kern w:val="2"/>
        </w:rPr>
        <w:t>is</w:t>
      </w:r>
      <w:r>
        <w:rPr>
          <w:iCs/>
          <w:kern w:val="2"/>
        </w:rPr>
        <w:t xml:space="preserve"> </w:t>
      </w:r>
      <w:r>
        <w:rPr>
          <w:rFonts w:hint="eastAsia"/>
          <w:iCs/>
          <w:kern w:val="2"/>
        </w:rPr>
        <w:t>present,</w:t>
      </w:r>
      <w:r>
        <w:rPr>
          <w:iCs/>
          <w:kern w:val="2"/>
        </w:rPr>
        <w:t xml:space="preserve"> the SIB1</w:t>
      </w:r>
      <w:r w:rsidR="0091271D">
        <w:rPr>
          <w:iCs/>
          <w:kern w:val="2"/>
        </w:rPr>
        <w:t>-NB</w:t>
      </w:r>
      <w:r>
        <w:rPr>
          <w:iCs/>
          <w:kern w:val="2"/>
        </w:rPr>
        <w:t xml:space="preserve"> indicates the </w:t>
      </w:r>
      <w:r w:rsidR="0091271D">
        <w:rPr>
          <w:iCs/>
          <w:kern w:val="2"/>
        </w:rPr>
        <w:t xml:space="preserve">possibility of assembling warning message segments in this </w:t>
      </w:r>
      <w:r>
        <w:rPr>
          <w:iCs/>
          <w:kern w:val="2"/>
        </w:rPr>
        <w:t xml:space="preserve">cell </w:t>
      </w:r>
      <w:r w:rsidR="0091271D">
        <w:rPr>
          <w:iCs/>
          <w:kern w:val="2"/>
        </w:rPr>
        <w:t>if it is the same eNB</w:t>
      </w:r>
      <w:r>
        <w:rPr>
          <w:rFonts w:hint="eastAsia"/>
          <w:iCs/>
          <w:kern w:val="2"/>
        </w:rPr>
        <w:t>.</w:t>
      </w:r>
    </w:p>
    <w:p w14:paraId="4431D89F" w14:textId="41338ABB" w:rsidR="006E00E0" w:rsidRDefault="006E00E0" w:rsidP="00314E7E">
      <w:pPr>
        <w:spacing w:line="240" w:lineRule="auto"/>
        <w:rPr>
          <w:iCs/>
          <w:kern w:val="2"/>
        </w:rPr>
      </w:pPr>
      <w:r>
        <w:rPr>
          <w:rFonts w:hint="eastAsia"/>
          <w:iCs/>
          <w:kern w:val="2"/>
        </w:rPr>
        <w:t>A</w:t>
      </w:r>
      <w:r>
        <w:rPr>
          <w:iCs/>
          <w:kern w:val="2"/>
        </w:rPr>
        <w:t>lt</w:t>
      </w:r>
      <w:r w:rsidR="0091271D">
        <w:rPr>
          <w:iCs/>
          <w:kern w:val="2"/>
        </w:rPr>
        <w:t xml:space="preserve"> </w:t>
      </w:r>
      <w:r>
        <w:rPr>
          <w:iCs/>
          <w:kern w:val="2"/>
        </w:rPr>
        <w:t xml:space="preserve">2. </w:t>
      </w:r>
      <w:r w:rsidR="00C346D1">
        <w:rPr>
          <w:iCs/>
          <w:kern w:val="2"/>
        </w:rPr>
        <w:t>SIB31-NB</w:t>
      </w:r>
      <w:r w:rsidR="0091271D">
        <w:rPr>
          <w:iCs/>
          <w:kern w:val="2"/>
        </w:rPr>
        <w:t>, which is exclusive to NTN</w:t>
      </w:r>
      <w:r>
        <w:rPr>
          <w:iCs/>
          <w:kern w:val="2"/>
        </w:rPr>
        <w:t>.</w:t>
      </w:r>
    </w:p>
    <w:p w14:paraId="05F8C75B" w14:textId="7185C577" w:rsidR="0091271D" w:rsidRPr="00B5675C" w:rsidRDefault="0091271D" w:rsidP="00314E7E">
      <w:pPr>
        <w:spacing w:line="240" w:lineRule="auto"/>
        <w:rPr>
          <w:iCs/>
          <w:kern w:val="2"/>
        </w:rPr>
      </w:pPr>
      <w:r>
        <w:rPr>
          <w:iCs/>
          <w:kern w:val="2"/>
        </w:rPr>
        <w:t xml:space="preserve">Since this issue was currently identified for satellite access only, SIB31-NB might be the better choice. </w:t>
      </w:r>
    </w:p>
    <w:p w14:paraId="3C28D1E7" w14:textId="62DB3670" w:rsidR="00B5675C" w:rsidRDefault="00B5675C" w:rsidP="00B5675C">
      <w:pPr>
        <w:spacing w:line="240" w:lineRule="auto"/>
        <w:jc w:val="left"/>
        <w:rPr>
          <w:rFonts w:eastAsiaTheme="minorEastAsia"/>
          <w:b/>
        </w:rPr>
      </w:pPr>
      <w:r w:rsidRPr="00B5675C">
        <w:rPr>
          <w:rFonts w:eastAsiaTheme="minorEastAsia"/>
          <w:b/>
        </w:rPr>
        <w:t xml:space="preserve">Proposal </w:t>
      </w:r>
      <w:r w:rsidR="00A654C1">
        <w:rPr>
          <w:rFonts w:eastAsiaTheme="minorEastAsia"/>
          <w:b/>
        </w:rPr>
        <w:t>1</w:t>
      </w:r>
      <w:r w:rsidRPr="00B5675C">
        <w:rPr>
          <w:rFonts w:eastAsiaTheme="minorEastAsia"/>
          <w:b/>
        </w:rPr>
        <w:t>: (RRC-</w:t>
      </w:r>
      <w:r w:rsidR="00D93C90">
        <w:rPr>
          <w:rFonts w:eastAsiaTheme="minorEastAsia"/>
          <w:b/>
        </w:rPr>
        <w:t>3</w:t>
      </w:r>
      <w:r w:rsidRPr="00B5675C">
        <w:rPr>
          <w:rFonts w:eastAsiaTheme="minorEastAsia"/>
          <w:b/>
        </w:rPr>
        <w:t>) A</w:t>
      </w:r>
      <w:r w:rsidR="000647F7">
        <w:rPr>
          <w:rFonts w:eastAsiaTheme="minorEastAsia"/>
          <w:b/>
        </w:rPr>
        <w:t xml:space="preserve"> NB-IoT NTN</w:t>
      </w:r>
      <w:r w:rsidRPr="00B5675C">
        <w:rPr>
          <w:rFonts w:eastAsiaTheme="minorEastAsia"/>
          <w:b/>
        </w:rPr>
        <w:t xml:space="preserve"> UE is allowed to assemble PWS segments </w:t>
      </w:r>
      <w:r w:rsidR="00F27ADA" w:rsidRPr="00F27ADA">
        <w:rPr>
          <w:rFonts w:eastAsiaTheme="minorEastAsia"/>
          <w:b/>
        </w:rPr>
        <w:t xml:space="preserve">from different cells within an </w:t>
      </w:r>
      <w:r w:rsidR="00F27ADA">
        <w:rPr>
          <w:rFonts w:eastAsiaTheme="minorEastAsia"/>
          <w:b/>
        </w:rPr>
        <w:t>eNB based on a NW indication.</w:t>
      </w:r>
      <w:r w:rsidRPr="001F2CEB">
        <w:rPr>
          <w:rFonts w:eastAsiaTheme="minorEastAsia"/>
          <w:b/>
        </w:rPr>
        <w:t xml:space="preserve"> </w:t>
      </w:r>
    </w:p>
    <w:p w14:paraId="338E49BE" w14:textId="2A0EB6B7" w:rsidR="0091271D" w:rsidRDefault="0091271D" w:rsidP="00B5675C">
      <w:pPr>
        <w:spacing w:line="240" w:lineRule="auto"/>
        <w:jc w:val="left"/>
        <w:rPr>
          <w:iCs/>
          <w:kern w:val="2"/>
        </w:rPr>
      </w:pPr>
      <w:r w:rsidRPr="0091271D">
        <w:rPr>
          <w:iCs/>
          <w:kern w:val="2"/>
        </w:rPr>
        <w:t xml:space="preserve">If </w:t>
      </w:r>
      <w:r>
        <w:rPr>
          <w:iCs/>
          <w:kern w:val="2"/>
        </w:rPr>
        <w:t xml:space="preserve">Proposal 1 is agreed, we think this issue should also be considered for eMTC NTN. Since in the earth moving </w:t>
      </w:r>
      <w:r w:rsidR="00097FB9">
        <w:rPr>
          <w:iCs/>
          <w:kern w:val="2"/>
        </w:rPr>
        <w:t xml:space="preserve">cell </w:t>
      </w:r>
      <w:r>
        <w:rPr>
          <w:iCs/>
          <w:kern w:val="2"/>
        </w:rPr>
        <w:t xml:space="preserve">scenario a cell change can happen every 6 seconds, as noted in </w:t>
      </w:r>
      <w:r w:rsidRPr="0091271D">
        <w:rPr>
          <w:iCs/>
          <w:kern w:val="2"/>
        </w:rPr>
        <w:t>TR38.821</w:t>
      </w:r>
      <w:r>
        <w:rPr>
          <w:iCs/>
          <w:kern w:val="2"/>
        </w:rPr>
        <w:t xml:space="preserve">, the same issue will exist for PWS delivery in eMTC NTN. </w:t>
      </w:r>
      <w:r w:rsidR="000647F7">
        <w:rPr>
          <w:iCs/>
          <w:kern w:val="2"/>
        </w:rPr>
        <w:t>Therefore,</w:t>
      </w:r>
      <w:r>
        <w:rPr>
          <w:iCs/>
          <w:kern w:val="2"/>
        </w:rPr>
        <w:t xml:space="preserve"> we believe this optimization should also be considered for this technology as </w:t>
      </w:r>
      <w:r w:rsidR="000647F7">
        <w:rPr>
          <w:iCs/>
          <w:kern w:val="2"/>
        </w:rPr>
        <w:t>the specification change would be minimal, i.e. addition of the same indication in SIB31</w:t>
      </w:r>
      <w:r w:rsidRPr="0091271D">
        <w:rPr>
          <w:iCs/>
          <w:kern w:val="2"/>
        </w:rPr>
        <w:t>.</w:t>
      </w:r>
    </w:p>
    <w:p w14:paraId="2954A73E" w14:textId="118450C4" w:rsidR="000647F7" w:rsidRDefault="000647F7" w:rsidP="00B5675C">
      <w:pPr>
        <w:spacing w:line="240" w:lineRule="auto"/>
        <w:jc w:val="left"/>
        <w:rPr>
          <w:rFonts w:eastAsiaTheme="minorEastAsia"/>
          <w:b/>
        </w:rPr>
      </w:pPr>
      <w:r w:rsidRPr="00B5675C">
        <w:rPr>
          <w:rFonts w:eastAsiaTheme="minorEastAsia"/>
          <w:b/>
        </w:rPr>
        <w:t xml:space="preserve">Proposal </w:t>
      </w:r>
      <w:r>
        <w:rPr>
          <w:rFonts w:eastAsiaTheme="minorEastAsia"/>
          <w:b/>
        </w:rPr>
        <w:t>2</w:t>
      </w:r>
      <w:r w:rsidRPr="00B5675C">
        <w:rPr>
          <w:rFonts w:eastAsiaTheme="minorEastAsia"/>
          <w:b/>
        </w:rPr>
        <w:t xml:space="preserve">: </w:t>
      </w:r>
      <w:r w:rsidRPr="000647F7">
        <w:rPr>
          <w:rFonts w:eastAsiaTheme="minorEastAsia"/>
          <w:b/>
        </w:rPr>
        <w:t xml:space="preserve">An </w:t>
      </w:r>
      <w:r>
        <w:rPr>
          <w:rFonts w:eastAsiaTheme="minorEastAsia"/>
          <w:b/>
        </w:rPr>
        <w:t>eMTC</w:t>
      </w:r>
      <w:r w:rsidRPr="000647F7">
        <w:rPr>
          <w:rFonts w:eastAsiaTheme="minorEastAsia"/>
          <w:b/>
        </w:rPr>
        <w:t xml:space="preserve"> NTN UE is allowed to assemble PWS segments from different cells within an eNB based on a NW indication</w:t>
      </w:r>
      <w:r>
        <w:rPr>
          <w:rFonts w:eastAsiaTheme="minorEastAsia"/>
          <w:b/>
        </w:rPr>
        <w:t>.</w:t>
      </w:r>
    </w:p>
    <w:p w14:paraId="4CB01AD7" w14:textId="77777777" w:rsidR="000647F7" w:rsidRPr="0091271D" w:rsidRDefault="000647F7" w:rsidP="00B5675C">
      <w:pPr>
        <w:spacing w:line="240" w:lineRule="auto"/>
        <w:jc w:val="left"/>
        <w:rPr>
          <w:iCs/>
          <w:kern w:val="2"/>
        </w:rPr>
      </w:pPr>
    </w:p>
    <w:p w14:paraId="4F065C7A" w14:textId="7100E885" w:rsidR="008524AE" w:rsidRPr="008524AE" w:rsidRDefault="008524AE" w:rsidP="008524AE">
      <w:pPr>
        <w:spacing w:after="120"/>
        <w:outlineLvl w:val="1"/>
        <w:rPr>
          <w:rFonts w:ascii="Arial" w:hAnsi="Arial"/>
          <w:sz w:val="24"/>
          <w:szCs w:val="22"/>
        </w:rPr>
      </w:pPr>
      <w:r w:rsidRPr="008524AE">
        <w:rPr>
          <w:rFonts w:ascii="Arial" w:hAnsi="Arial"/>
          <w:sz w:val="24"/>
          <w:szCs w:val="22"/>
        </w:rPr>
        <w:t>2.</w:t>
      </w:r>
      <w:r w:rsidR="00B5675C">
        <w:rPr>
          <w:rFonts w:ascii="Arial" w:hAnsi="Arial"/>
          <w:sz w:val="24"/>
          <w:szCs w:val="22"/>
        </w:rPr>
        <w:t>2</w:t>
      </w:r>
      <w:r w:rsidRPr="008524AE">
        <w:rPr>
          <w:rFonts w:ascii="Arial" w:hAnsi="Arial"/>
          <w:sz w:val="24"/>
          <w:szCs w:val="22"/>
        </w:rPr>
        <w:t xml:space="preserve"> </w:t>
      </w:r>
      <w:r w:rsidR="00813B4B" w:rsidRPr="00813B4B">
        <w:rPr>
          <w:rFonts w:ascii="Arial" w:hAnsi="Arial"/>
          <w:sz w:val="24"/>
          <w:szCs w:val="22"/>
        </w:rPr>
        <w:t>(RRC-</w:t>
      </w:r>
      <w:r w:rsidR="00D93C90">
        <w:rPr>
          <w:rFonts w:ascii="Arial" w:hAnsi="Arial"/>
          <w:sz w:val="24"/>
          <w:szCs w:val="22"/>
        </w:rPr>
        <w:t>2</w:t>
      </w:r>
      <w:r w:rsidR="00813B4B" w:rsidRPr="00813B4B">
        <w:rPr>
          <w:rFonts w:ascii="Arial" w:hAnsi="Arial"/>
          <w:sz w:val="24"/>
          <w:szCs w:val="22"/>
        </w:rPr>
        <w:t>)</w:t>
      </w:r>
      <w:r w:rsidR="00314E7E">
        <w:rPr>
          <w:rFonts w:ascii="Arial" w:hAnsi="Arial"/>
          <w:sz w:val="24"/>
          <w:szCs w:val="22"/>
        </w:rPr>
        <w:t xml:space="preserve"> </w:t>
      </w:r>
      <w:r>
        <w:rPr>
          <w:rFonts w:ascii="Arial" w:hAnsi="Arial"/>
          <w:sz w:val="24"/>
          <w:szCs w:val="22"/>
        </w:rPr>
        <w:t xml:space="preserve">SIB1-NB skipping </w:t>
      </w:r>
      <w:r w:rsidRPr="008524AE">
        <w:rPr>
          <w:rFonts w:ascii="Arial" w:hAnsi="Arial"/>
          <w:sz w:val="24"/>
          <w:szCs w:val="22"/>
        </w:rPr>
        <w:t xml:space="preserve">for </w:t>
      </w:r>
      <w:r>
        <w:rPr>
          <w:rFonts w:ascii="Arial" w:hAnsi="Arial"/>
          <w:sz w:val="24"/>
          <w:szCs w:val="22"/>
        </w:rPr>
        <w:t xml:space="preserve">PWS </w:t>
      </w:r>
      <w:r>
        <w:rPr>
          <w:rFonts w:ascii="Arial" w:hAnsi="Arial" w:hint="eastAsia"/>
          <w:sz w:val="24"/>
          <w:szCs w:val="22"/>
        </w:rPr>
        <w:t>recep</w:t>
      </w:r>
      <w:r>
        <w:rPr>
          <w:rFonts w:ascii="Arial" w:hAnsi="Arial"/>
          <w:sz w:val="24"/>
          <w:szCs w:val="22"/>
        </w:rPr>
        <w:t>tion in RRC Idle</w:t>
      </w:r>
    </w:p>
    <w:p w14:paraId="3DA7B117" w14:textId="03748730" w:rsidR="008524AE" w:rsidRDefault="008524AE" w:rsidP="008524AE">
      <w:r>
        <w:rPr>
          <w:rFonts w:hint="eastAsia"/>
        </w:rPr>
        <w:t>I</w:t>
      </w:r>
      <w:r>
        <w:t xml:space="preserve">t is </w:t>
      </w:r>
      <w:r w:rsidRPr="00A72F9F">
        <w:rPr>
          <w:rFonts w:eastAsia="Times New Roman"/>
          <w:szCs w:val="22"/>
          <w:lang w:val="en-GB" w:eastAsia="en-GB"/>
        </w:rPr>
        <w:t>important to note</w:t>
      </w:r>
      <w:r w:rsidRPr="00A72F9F">
        <w:rPr>
          <w:rFonts w:eastAsia="Times New Roman"/>
          <w:sz w:val="24"/>
          <w:szCs w:val="24"/>
          <w:lang w:val="en-GB" w:eastAsia="en-GB"/>
        </w:rPr>
        <w:t xml:space="preserve"> </w:t>
      </w:r>
      <w:r>
        <w:t xml:space="preserve">that there are specific requirements for delivery of </w:t>
      </w:r>
      <w:r w:rsidR="00F04253">
        <w:t xml:space="preserve">an </w:t>
      </w:r>
      <w:r>
        <w:t>ETWS message</w:t>
      </w:r>
      <w:r>
        <w:rPr>
          <w:rFonts w:hint="eastAsia"/>
        </w:rPr>
        <w:t>,</w:t>
      </w:r>
      <w:r>
        <w:t xml:space="preserve"> </w:t>
      </w:r>
      <w:r w:rsidRPr="006424B1">
        <w:t xml:space="preserve">as outlined in </w:t>
      </w:r>
      <w:r>
        <w:t>TS 22</w:t>
      </w:r>
      <w:r>
        <w:rPr>
          <w:rFonts w:hint="eastAsia"/>
        </w:rPr>
        <w:t>.</w:t>
      </w:r>
      <w:r>
        <w:t>268 [</w:t>
      </w:r>
      <w:r w:rsidR="00813B4B">
        <w:t>3</w:t>
      </w:r>
      <w:r>
        <w:t>]:</w:t>
      </w:r>
    </w:p>
    <w:p w14:paraId="654182B7" w14:textId="77777777" w:rsidR="008524AE" w:rsidRPr="00422755" w:rsidRDefault="008524AE" w:rsidP="008524AE">
      <w:pPr>
        <w:pStyle w:val="B1"/>
        <w:pBdr>
          <w:top w:val="single" w:sz="4" w:space="1" w:color="auto"/>
          <w:left w:val="single" w:sz="4" w:space="4" w:color="auto"/>
          <w:bottom w:val="single" w:sz="4" w:space="1" w:color="auto"/>
          <w:right w:val="single" w:sz="4" w:space="4" w:color="auto"/>
        </w:pBdr>
      </w:pPr>
      <w:r>
        <w:t>-</w:t>
      </w:r>
      <w:r>
        <w:tab/>
      </w:r>
      <w:r w:rsidRPr="00747014">
        <w:rPr>
          <w:shd w:val="clear" w:color="auto" w:fill="FFFF00"/>
        </w:rPr>
        <w:t>Quick Warning Notification delivery</w:t>
      </w:r>
      <w:r w:rsidRPr="00422755">
        <w:rPr>
          <w:rFonts w:hint="eastAsia"/>
        </w:rPr>
        <w:t xml:space="preserve"> after the </w:t>
      </w:r>
      <w:r w:rsidRPr="00422755">
        <w:t>occurrence</w:t>
      </w:r>
      <w:r w:rsidRPr="00422755">
        <w:rPr>
          <w:rFonts w:hint="eastAsia"/>
        </w:rPr>
        <w:t xml:space="preserve"> of Earthquake or Tsunami.</w:t>
      </w:r>
    </w:p>
    <w:p w14:paraId="1D408BA3" w14:textId="77777777" w:rsidR="008524AE" w:rsidRDefault="008524AE" w:rsidP="008524AE">
      <w:pPr>
        <w:pStyle w:val="B1"/>
        <w:pBdr>
          <w:top w:val="single" w:sz="4" w:space="1" w:color="auto"/>
          <w:left w:val="single" w:sz="4" w:space="4" w:color="auto"/>
          <w:bottom w:val="single" w:sz="4" w:space="1" w:color="auto"/>
          <w:right w:val="single" w:sz="4" w:space="4" w:color="auto"/>
        </w:pBdr>
      </w:pPr>
      <w:r>
        <w:lastRenderedPageBreak/>
        <w:tab/>
      </w:r>
      <w:r w:rsidRPr="00422755">
        <w:rPr>
          <w:rFonts w:hint="eastAsia"/>
        </w:rPr>
        <w:t xml:space="preserve">Earthquake and Tsunami propagate very fast. The duration time between the actual </w:t>
      </w:r>
      <w:r w:rsidRPr="00422755">
        <w:t>occurrence</w:t>
      </w:r>
      <w:r w:rsidRPr="00422755">
        <w:rPr>
          <w:rFonts w:hint="eastAsia"/>
        </w:rPr>
        <w:t xml:space="preserv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  </w:t>
      </w:r>
    </w:p>
    <w:p w14:paraId="4EEC4CBF" w14:textId="77777777" w:rsidR="008524AE" w:rsidRDefault="008524AE" w:rsidP="008524AE">
      <w:pPr>
        <w:spacing w:after="0" w:line="240" w:lineRule="auto"/>
      </w:pPr>
      <w:r>
        <w:rPr>
          <w:rFonts w:hint="eastAsia"/>
        </w:rPr>
        <w:t>T</w:t>
      </w:r>
      <w:r>
        <w:t xml:space="preserve">he amount of data </w:t>
      </w:r>
      <w:r w:rsidRPr="006424B1">
        <w:t xml:space="preserve">included in </w:t>
      </w:r>
      <w:r>
        <w:t xml:space="preserve">the ETWS primary notification is limited to a few bytes to ensure efficient delivery. However, the ETWS secondary notification and CMAS notification are expected to contain </w:t>
      </w:r>
      <w:r>
        <w:rPr>
          <w:rFonts w:hint="eastAsia"/>
        </w:rPr>
        <w:t>elements</w:t>
      </w:r>
      <w:r>
        <w:t xml:space="preserve"> that instruct the UE to take specific actions, which may involve larger data volume:</w:t>
      </w:r>
    </w:p>
    <w:p w14:paraId="5A491BD1"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Event Description </w:t>
      </w:r>
    </w:p>
    <w:p w14:paraId="41BD185D"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Area Affected</w:t>
      </w:r>
    </w:p>
    <w:p w14:paraId="0E5C6FCB"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Recommended Action </w:t>
      </w:r>
    </w:p>
    <w:p w14:paraId="0B398794" w14:textId="77777777" w:rsidR="008524AE" w:rsidRPr="00AB78BE" w:rsidRDefault="008524AE" w:rsidP="008524AE">
      <w:pPr>
        <w:pStyle w:val="B1"/>
        <w:spacing w:after="0"/>
        <w:rPr>
          <w:sz w:val="22"/>
          <w:szCs w:val="22"/>
        </w:rPr>
      </w:pPr>
      <w:r w:rsidRPr="00AB78BE">
        <w:rPr>
          <w:sz w:val="22"/>
          <w:szCs w:val="22"/>
        </w:rPr>
        <w:t>-</w:t>
      </w:r>
      <w:r w:rsidRPr="00AB78BE">
        <w:rPr>
          <w:sz w:val="22"/>
          <w:szCs w:val="22"/>
        </w:rPr>
        <w:tab/>
        <w:t xml:space="preserve">Expiration Time (with time zone) </w:t>
      </w:r>
    </w:p>
    <w:p w14:paraId="39130186" w14:textId="77777777" w:rsidR="008524AE" w:rsidRPr="00AB78BE" w:rsidRDefault="008524AE" w:rsidP="008524AE">
      <w:pPr>
        <w:pStyle w:val="B1"/>
        <w:spacing w:after="120"/>
        <w:rPr>
          <w:sz w:val="22"/>
          <w:szCs w:val="22"/>
        </w:rPr>
      </w:pPr>
      <w:r w:rsidRPr="00AB78BE">
        <w:rPr>
          <w:sz w:val="22"/>
          <w:szCs w:val="22"/>
        </w:rPr>
        <w:t>-</w:t>
      </w:r>
      <w:r w:rsidRPr="00AB78BE">
        <w:rPr>
          <w:sz w:val="22"/>
          <w:szCs w:val="22"/>
        </w:rPr>
        <w:tab/>
        <w:t>Sending Agency</w:t>
      </w:r>
    </w:p>
    <w:p w14:paraId="292E3378" w14:textId="77777777" w:rsidR="008524AE" w:rsidRDefault="008524AE" w:rsidP="008524AE">
      <w:pPr>
        <w:spacing w:line="240" w:lineRule="auto"/>
      </w:pPr>
      <w:r>
        <w:t>B</w:t>
      </w:r>
      <w:r>
        <w:rPr>
          <w:rFonts w:hint="eastAsia"/>
        </w:rPr>
        <w:t>esides</w:t>
      </w:r>
      <w:r>
        <w:t>, a</w:t>
      </w:r>
      <w:r w:rsidRPr="00D761A4">
        <w:t>dditional elements may be</w:t>
      </w:r>
      <w:r>
        <w:t xml:space="preserve"> included</w:t>
      </w:r>
      <w:r w:rsidRPr="00D761A4">
        <w:t>, based on regulatory requirements.</w:t>
      </w:r>
      <w:r>
        <w:t xml:space="preserve"> In such cases, the message may need to be delivered in multiple segments, which could result in longer latency.</w:t>
      </w:r>
    </w:p>
    <w:p w14:paraId="6C794880" w14:textId="77777777" w:rsidR="008524AE" w:rsidRDefault="008524AE" w:rsidP="008524AE">
      <w:pPr>
        <w:spacing w:line="240" w:lineRule="auto"/>
      </w:pPr>
      <w:r>
        <w:t>I</w:t>
      </w:r>
      <w:r>
        <w:rPr>
          <w:rFonts w:hint="eastAsia"/>
        </w:rPr>
        <w:t>t</w:t>
      </w:r>
      <w:r>
        <w:t xml:space="preserve"> is also observed that there is </w:t>
      </w:r>
      <w:r>
        <w:rPr>
          <w:rFonts w:hint="eastAsia"/>
        </w:rPr>
        <w:t>growing</w:t>
      </w:r>
      <w:r>
        <w:t xml:space="preserve"> necessity to ensure that the public needs the capability to receive the alerts, warnings and critical information regarding emergencies timely and accurately. This is essential for taking prompt actions to avoid serious injury, property loss or even threat to life. </w:t>
      </w:r>
    </w:p>
    <w:p w14:paraId="03DF4267" w14:textId="67C81B38" w:rsidR="008524AE" w:rsidRDefault="008524AE" w:rsidP="008524AE">
      <w:pPr>
        <w:spacing w:line="240" w:lineRule="auto"/>
      </w:pPr>
      <w:r>
        <w:t xml:space="preserve">There is an FFS on whether SIB1-NB can be skipped when acquiring the PWS related SIB(s). From our point of view, it is beneficial to skip SIB1-NB to decrease the corresponding waiting period and processing time. The most straightforward approach would be for the NW to send the scheduling information in advance and indicate whether the PWS SIBs are being broadcast or not, similar to NR on-demand SI </w:t>
      </w:r>
      <w:r w:rsidRPr="00894991">
        <w:rPr>
          <w:i/>
          <w:iCs/>
        </w:rPr>
        <w:t>si-BroadcastStatus</w:t>
      </w:r>
      <w:r>
        <w:t xml:space="preserve"> indication. If </w:t>
      </w:r>
      <w:r w:rsidRPr="00DD1189">
        <w:t>the PWS SIBs are not being broadcast</w:t>
      </w:r>
      <w:r>
        <w:t xml:space="preserve">, the UE would just store the scheduling information. When the ETWS/CMAS notification is sent via paging, UE can then directly use the stored scheduling information for the acquisition of the PWS SIBs. </w:t>
      </w:r>
    </w:p>
    <w:p w14:paraId="0769531D" w14:textId="415D5CDB" w:rsidR="008524AE" w:rsidRPr="008524AE" w:rsidRDefault="008524AE" w:rsidP="008524AE">
      <w:pPr>
        <w:spacing w:line="240" w:lineRule="auto"/>
        <w:jc w:val="left"/>
        <w:rPr>
          <w:rFonts w:eastAsiaTheme="minorEastAsia"/>
          <w:b/>
        </w:rPr>
      </w:pPr>
      <w:r w:rsidRPr="00C544C2">
        <w:rPr>
          <w:rFonts w:eastAsiaTheme="minorEastAsia"/>
          <w:b/>
        </w:rPr>
        <w:t xml:space="preserve">Proposal </w:t>
      </w:r>
      <w:r w:rsidR="0091271D">
        <w:rPr>
          <w:rFonts w:eastAsiaTheme="minorEastAsia"/>
          <w:b/>
        </w:rPr>
        <w:t>3</w:t>
      </w:r>
      <w:r w:rsidRPr="00C544C2">
        <w:rPr>
          <w:rFonts w:eastAsiaTheme="minorEastAsia"/>
          <w:b/>
        </w:rPr>
        <w:t>:</w:t>
      </w:r>
      <w:r>
        <w:rPr>
          <w:rFonts w:eastAsiaTheme="minorEastAsia"/>
          <w:b/>
        </w:rPr>
        <w:t xml:space="preserve"> </w:t>
      </w:r>
      <w:r w:rsidR="00C56757">
        <w:rPr>
          <w:rFonts w:eastAsiaTheme="minorEastAsia"/>
          <w:b/>
        </w:rPr>
        <w:t>(RRC-</w:t>
      </w:r>
      <w:r w:rsidR="00D93C90">
        <w:rPr>
          <w:rFonts w:eastAsiaTheme="minorEastAsia"/>
          <w:b/>
        </w:rPr>
        <w:t>2</w:t>
      </w:r>
      <w:r w:rsidR="00C56757">
        <w:rPr>
          <w:rFonts w:eastAsiaTheme="minorEastAsia"/>
          <w:b/>
        </w:rPr>
        <w:t xml:space="preserve">) </w:t>
      </w:r>
      <w:r w:rsidR="006B2047">
        <w:rPr>
          <w:rFonts w:eastAsiaTheme="minorEastAsia"/>
          <w:b/>
        </w:rPr>
        <w:t xml:space="preserve">The </w:t>
      </w:r>
      <w:r>
        <w:rPr>
          <w:rFonts w:eastAsiaTheme="minorEastAsia"/>
          <w:b/>
        </w:rPr>
        <w:t xml:space="preserve">NW can choose to send </w:t>
      </w:r>
      <w:r w:rsidRPr="00097AE1">
        <w:rPr>
          <w:rFonts w:eastAsiaTheme="minorEastAsia"/>
          <w:b/>
        </w:rPr>
        <w:t xml:space="preserve">the scheduling information </w:t>
      </w:r>
      <w:r>
        <w:rPr>
          <w:rFonts w:eastAsiaTheme="minorEastAsia"/>
          <w:b/>
        </w:rPr>
        <w:t xml:space="preserve">of PWS SIBs </w:t>
      </w:r>
      <w:r w:rsidRPr="00097AE1">
        <w:rPr>
          <w:rFonts w:eastAsiaTheme="minorEastAsia"/>
          <w:b/>
        </w:rPr>
        <w:t xml:space="preserve">in advance </w:t>
      </w:r>
      <w:r>
        <w:rPr>
          <w:rFonts w:eastAsiaTheme="minorEastAsia"/>
          <w:b/>
        </w:rPr>
        <w:t xml:space="preserve">and indicate </w:t>
      </w:r>
      <w:r w:rsidRPr="00097AE1">
        <w:rPr>
          <w:rFonts w:eastAsiaTheme="minorEastAsia"/>
          <w:b/>
        </w:rPr>
        <w:t xml:space="preserve">whether the PWS SIBs are being broadcast or not similar to </w:t>
      </w:r>
      <w:r>
        <w:rPr>
          <w:rFonts w:eastAsiaTheme="minorEastAsia"/>
          <w:b/>
        </w:rPr>
        <w:t xml:space="preserve">NR </w:t>
      </w:r>
      <w:r w:rsidRPr="00097AE1">
        <w:rPr>
          <w:rFonts w:eastAsiaTheme="minorEastAsia"/>
          <w:b/>
        </w:rPr>
        <w:t xml:space="preserve">on-demand SI </w:t>
      </w:r>
      <w:r w:rsidRPr="00894991">
        <w:rPr>
          <w:rFonts w:eastAsiaTheme="minorEastAsia"/>
          <w:b/>
          <w:i/>
          <w:iCs/>
        </w:rPr>
        <w:t xml:space="preserve">si-BroadcastStatus </w:t>
      </w:r>
      <w:r>
        <w:rPr>
          <w:rFonts w:eastAsiaTheme="minorEastAsia"/>
          <w:b/>
        </w:rPr>
        <w:t xml:space="preserve">indication. </w:t>
      </w:r>
    </w:p>
    <w:p w14:paraId="0DB93B98" w14:textId="77777777" w:rsidR="0036016C" w:rsidRDefault="0036016C">
      <w:pPr>
        <w:overflowPunct/>
        <w:autoSpaceDE/>
        <w:autoSpaceDN/>
        <w:adjustRightInd/>
        <w:spacing w:after="0" w:line="240" w:lineRule="auto"/>
        <w:jc w:val="left"/>
        <w:textAlignment w:val="auto"/>
        <w:rPr>
          <w:rFonts w:ascii="Arial" w:hAnsi="Arial"/>
          <w:sz w:val="24"/>
          <w:szCs w:val="22"/>
        </w:rPr>
      </w:pPr>
      <w:r>
        <w:rPr>
          <w:rFonts w:ascii="Arial" w:hAnsi="Arial"/>
          <w:sz w:val="24"/>
          <w:szCs w:val="22"/>
        </w:rPr>
        <w:br w:type="page"/>
      </w:r>
    </w:p>
    <w:bookmarkEnd w:id="6"/>
    <w:bookmarkEnd w:id="7"/>
    <w:p w14:paraId="669EC1BE" w14:textId="48ED7786" w:rsidR="0083240D" w:rsidRPr="00250190"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lastRenderedPageBreak/>
        <w:t>Conclusion</w:t>
      </w:r>
    </w:p>
    <w:p w14:paraId="1D97D7EE" w14:textId="0F332A28" w:rsidR="00C72980" w:rsidRDefault="00275828" w:rsidP="006347EA">
      <w:pPr>
        <w:spacing w:line="240" w:lineRule="auto"/>
        <w:rPr>
          <w:bCs/>
          <w:szCs w:val="22"/>
        </w:rPr>
      </w:pPr>
      <w:r>
        <w:t>In this</w:t>
      </w:r>
      <w:r w:rsidR="00B71E3E" w:rsidRPr="00E706FC">
        <w:t xml:space="preserve"> contribution </w:t>
      </w:r>
      <w:r>
        <w:t xml:space="preserve">we </w:t>
      </w:r>
      <w:r w:rsidR="00B71E3E" w:rsidRPr="00E706FC">
        <w:t>discuss</w:t>
      </w:r>
      <w:r w:rsidR="00B71E3E">
        <w:t>ed</w:t>
      </w:r>
      <w:r w:rsidR="00B71E3E" w:rsidRPr="00E706FC">
        <w:t xml:space="preserve"> the </w:t>
      </w:r>
      <w:r w:rsidR="003E33C5">
        <w:t>support of PWS for NB-IoT</w:t>
      </w:r>
      <w:r>
        <w:t xml:space="preserve"> and made the following proposals:</w:t>
      </w:r>
    </w:p>
    <w:p w14:paraId="2656B872" w14:textId="4604D342" w:rsidR="00275828" w:rsidRDefault="00275828" w:rsidP="00275828">
      <w:pPr>
        <w:spacing w:line="240" w:lineRule="auto"/>
        <w:jc w:val="left"/>
        <w:rPr>
          <w:rFonts w:eastAsiaTheme="minorEastAsia"/>
          <w:b/>
        </w:rPr>
      </w:pPr>
      <w:r w:rsidRPr="00B5675C">
        <w:rPr>
          <w:rFonts w:eastAsiaTheme="minorEastAsia"/>
          <w:b/>
        </w:rPr>
        <w:t xml:space="preserve">Proposal </w:t>
      </w:r>
      <w:r>
        <w:rPr>
          <w:rFonts w:eastAsiaTheme="minorEastAsia"/>
          <w:b/>
        </w:rPr>
        <w:t>1</w:t>
      </w:r>
      <w:r w:rsidRPr="00B5675C">
        <w:rPr>
          <w:rFonts w:eastAsiaTheme="minorEastAsia"/>
          <w:b/>
        </w:rPr>
        <w:t>: (RRC-</w:t>
      </w:r>
      <w:r>
        <w:rPr>
          <w:rFonts w:eastAsiaTheme="minorEastAsia"/>
          <w:b/>
        </w:rPr>
        <w:t>3</w:t>
      </w:r>
      <w:r w:rsidRPr="00B5675C">
        <w:rPr>
          <w:rFonts w:eastAsiaTheme="minorEastAsia"/>
          <w:b/>
        </w:rPr>
        <w:t>) A</w:t>
      </w:r>
      <w:r>
        <w:rPr>
          <w:rFonts w:eastAsiaTheme="minorEastAsia"/>
          <w:b/>
        </w:rPr>
        <w:t xml:space="preserve"> NB-IoT NTN</w:t>
      </w:r>
      <w:r w:rsidRPr="00B5675C">
        <w:rPr>
          <w:rFonts w:eastAsiaTheme="minorEastAsia"/>
          <w:b/>
        </w:rPr>
        <w:t xml:space="preserve"> UE is allowed to assemble PWS segments </w:t>
      </w:r>
      <w:r w:rsidRPr="00F27ADA">
        <w:rPr>
          <w:rFonts w:eastAsiaTheme="minorEastAsia"/>
          <w:b/>
        </w:rPr>
        <w:t xml:space="preserve">from different cells within an </w:t>
      </w:r>
      <w:r>
        <w:rPr>
          <w:rFonts w:eastAsiaTheme="minorEastAsia"/>
          <w:b/>
        </w:rPr>
        <w:t>eNB based on a NW indication.</w:t>
      </w:r>
      <w:r w:rsidRPr="001F2CEB">
        <w:rPr>
          <w:rFonts w:eastAsiaTheme="minorEastAsia"/>
          <w:b/>
        </w:rPr>
        <w:t xml:space="preserve"> </w:t>
      </w:r>
    </w:p>
    <w:p w14:paraId="09EBE588" w14:textId="0DFC6260" w:rsidR="00275828" w:rsidRDefault="00275828" w:rsidP="00275828">
      <w:pPr>
        <w:spacing w:line="240" w:lineRule="auto"/>
        <w:jc w:val="left"/>
        <w:rPr>
          <w:rFonts w:eastAsiaTheme="minorEastAsia"/>
          <w:b/>
        </w:rPr>
      </w:pPr>
      <w:r w:rsidRPr="00B5675C">
        <w:rPr>
          <w:rFonts w:eastAsiaTheme="minorEastAsia"/>
          <w:b/>
        </w:rPr>
        <w:t xml:space="preserve">Proposal </w:t>
      </w:r>
      <w:r>
        <w:rPr>
          <w:rFonts w:eastAsiaTheme="minorEastAsia"/>
          <w:b/>
        </w:rPr>
        <w:t>2</w:t>
      </w:r>
      <w:r w:rsidRPr="00B5675C">
        <w:rPr>
          <w:rFonts w:eastAsiaTheme="minorEastAsia"/>
          <w:b/>
        </w:rPr>
        <w:t xml:space="preserve">: </w:t>
      </w:r>
      <w:r w:rsidRPr="000647F7">
        <w:rPr>
          <w:rFonts w:eastAsiaTheme="minorEastAsia"/>
          <w:b/>
        </w:rPr>
        <w:t xml:space="preserve">An </w:t>
      </w:r>
      <w:r>
        <w:rPr>
          <w:rFonts w:eastAsiaTheme="minorEastAsia"/>
          <w:b/>
        </w:rPr>
        <w:t>eMTC</w:t>
      </w:r>
      <w:r w:rsidRPr="000647F7">
        <w:rPr>
          <w:rFonts w:eastAsiaTheme="minorEastAsia"/>
          <w:b/>
        </w:rPr>
        <w:t xml:space="preserve"> NTN UE is allowed to assemble PWS segments from different cells within an eNB based on a NW indication</w:t>
      </w:r>
      <w:r>
        <w:rPr>
          <w:rFonts w:eastAsiaTheme="minorEastAsia"/>
          <w:b/>
        </w:rPr>
        <w:t>.</w:t>
      </w:r>
    </w:p>
    <w:p w14:paraId="132AD81B" w14:textId="4C55656C" w:rsidR="00275828" w:rsidRPr="008524AE" w:rsidRDefault="00275828" w:rsidP="00275828">
      <w:pPr>
        <w:spacing w:line="240" w:lineRule="auto"/>
        <w:jc w:val="left"/>
        <w:rPr>
          <w:rFonts w:eastAsiaTheme="minorEastAsia"/>
          <w:b/>
        </w:rPr>
      </w:pPr>
      <w:r w:rsidRPr="00C544C2">
        <w:rPr>
          <w:rFonts w:eastAsiaTheme="minorEastAsia"/>
          <w:b/>
        </w:rPr>
        <w:t xml:space="preserve">Proposal </w:t>
      </w:r>
      <w:r>
        <w:rPr>
          <w:rFonts w:eastAsiaTheme="minorEastAsia"/>
          <w:b/>
        </w:rPr>
        <w:t>3</w:t>
      </w:r>
      <w:r w:rsidRPr="00C544C2">
        <w:rPr>
          <w:rFonts w:eastAsiaTheme="minorEastAsia"/>
          <w:b/>
        </w:rPr>
        <w:t>:</w:t>
      </w:r>
      <w:r>
        <w:rPr>
          <w:rFonts w:eastAsiaTheme="minorEastAsia"/>
          <w:b/>
        </w:rPr>
        <w:t xml:space="preserve"> (RRC-2) </w:t>
      </w:r>
      <w:r w:rsidR="006B2047">
        <w:rPr>
          <w:rFonts w:eastAsiaTheme="minorEastAsia"/>
          <w:b/>
        </w:rPr>
        <w:t xml:space="preserve">The </w:t>
      </w:r>
      <w:r>
        <w:rPr>
          <w:rFonts w:eastAsiaTheme="minorEastAsia"/>
          <w:b/>
        </w:rPr>
        <w:t xml:space="preserve">NW can choose to send </w:t>
      </w:r>
      <w:r w:rsidRPr="00097AE1">
        <w:rPr>
          <w:rFonts w:eastAsiaTheme="minorEastAsia"/>
          <w:b/>
        </w:rPr>
        <w:t xml:space="preserve">the scheduling information </w:t>
      </w:r>
      <w:r>
        <w:rPr>
          <w:rFonts w:eastAsiaTheme="minorEastAsia"/>
          <w:b/>
        </w:rPr>
        <w:t xml:space="preserve">of PWS SIBs </w:t>
      </w:r>
      <w:r w:rsidRPr="00097AE1">
        <w:rPr>
          <w:rFonts w:eastAsiaTheme="minorEastAsia"/>
          <w:b/>
        </w:rPr>
        <w:t xml:space="preserve">in advance </w:t>
      </w:r>
      <w:r>
        <w:rPr>
          <w:rFonts w:eastAsiaTheme="minorEastAsia"/>
          <w:b/>
        </w:rPr>
        <w:t xml:space="preserve">and indicate </w:t>
      </w:r>
      <w:r w:rsidRPr="00097AE1">
        <w:rPr>
          <w:rFonts w:eastAsiaTheme="minorEastAsia"/>
          <w:b/>
        </w:rPr>
        <w:t xml:space="preserve">whether the PWS SIBs are being broadcast or not similar to </w:t>
      </w:r>
      <w:r>
        <w:rPr>
          <w:rFonts w:eastAsiaTheme="minorEastAsia"/>
          <w:b/>
        </w:rPr>
        <w:t xml:space="preserve">NR </w:t>
      </w:r>
      <w:r w:rsidRPr="00097AE1">
        <w:rPr>
          <w:rFonts w:eastAsiaTheme="minorEastAsia"/>
          <w:b/>
        </w:rPr>
        <w:t xml:space="preserve">on-demand SI </w:t>
      </w:r>
      <w:r w:rsidRPr="00894991">
        <w:rPr>
          <w:rFonts w:eastAsiaTheme="minorEastAsia"/>
          <w:b/>
          <w:i/>
          <w:iCs/>
        </w:rPr>
        <w:t xml:space="preserve">si-BroadcastStatus </w:t>
      </w:r>
      <w:r>
        <w:rPr>
          <w:rFonts w:eastAsiaTheme="minorEastAsia"/>
          <w:b/>
        </w:rPr>
        <w:t xml:space="preserve">indication. </w:t>
      </w:r>
    </w:p>
    <w:p w14:paraId="0D68ED61" w14:textId="77777777" w:rsidR="00275828" w:rsidRDefault="00275828" w:rsidP="006347EA">
      <w:pPr>
        <w:spacing w:line="240" w:lineRule="auto"/>
        <w:rPr>
          <w:bCs/>
          <w:szCs w:val="22"/>
        </w:rPr>
      </w:pPr>
    </w:p>
    <w:p w14:paraId="3CF38219" w14:textId="77777777" w:rsidR="0083240D"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5873533" w14:textId="62B3A194" w:rsidR="008B5DF5" w:rsidRDefault="00A83106" w:rsidP="003E33C5">
      <w:pPr>
        <w:pStyle w:val="Reference"/>
      </w:pPr>
      <w:bookmarkStart w:id="8" w:name="_Ref173907065"/>
      <w:r w:rsidRPr="003C456B">
        <w:t>RP-2</w:t>
      </w:r>
      <w:r w:rsidR="00292A07">
        <w:t>43278</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8"/>
    </w:p>
    <w:p w14:paraId="204A9DEF" w14:textId="2B8077BD" w:rsidR="00813B4B" w:rsidRDefault="00A74DAA" w:rsidP="003E33C5">
      <w:pPr>
        <w:pStyle w:val="Reference"/>
      </w:pPr>
      <w:r w:rsidRPr="00A74DAA">
        <w:t>R2-2505247</w:t>
      </w:r>
      <w:r w:rsidR="0013793C" w:rsidRPr="0013793C">
        <w:t xml:space="preserve"> RRC open issue list for IoT NTN</w:t>
      </w:r>
      <w:r w:rsidR="00813B4B" w:rsidRPr="00BB07BA">
        <w:rPr>
          <w:rFonts w:eastAsiaTheme="minorEastAsia"/>
        </w:rPr>
        <w:tab/>
        <w:t>Huawei, HiSilicon</w:t>
      </w:r>
    </w:p>
    <w:p w14:paraId="190F6B11" w14:textId="2443FE5F" w:rsidR="008D36C6" w:rsidRDefault="008D36C6" w:rsidP="003E33C5">
      <w:pPr>
        <w:pStyle w:val="Reference"/>
      </w:pPr>
      <w:r>
        <w:t xml:space="preserve">3GPP TS </w:t>
      </w:r>
      <w:r w:rsidRPr="008D36C6">
        <w:t>22.268</w:t>
      </w:r>
      <w:r>
        <w:t xml:space="preserve">, </w:t>
      </w:r>
      <w:r w:rsidRPr="008D36C6">
        <w:t>Public Warning System (PWS) requirements</w:t>
      </w:r>
    </w:p>
    <w:sectPr w:rsidR="008D36C6"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BE348" w14:textId="77777777" w:rsidR="00DF3813" w:rsidRDefault="00DF3813">
      <w:r>
        <w:separator/>
      </w:r>
    </w:p>
  </w:endnote>
  <w:endnote w:type="continuationSeparator" w:id="0">
    <w:p w14:paraId="0F3551E5" w14:textId="77777777" w:rsidR="00DF3813" w:rsidRDefault="00DF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KaiTi_GB2312">
    <w:altName w:val="Malgun Gothic Semilight"/>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52B8F" w:rsidRDefault="00152B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52B8F" w:rsidRDefault="00152B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C566" w14:textId="77777777" w:rsidR="00DF3813" w:rsidRDefault="00DF3813">
      <w:r>
        <w:separator/>
      </w:r>
    </w:p>
  </w:footnote>
  <w:footnote w:type="continuationSeparator" w:id="0">
    <w:p w14:paraId="0B0AB7C7" w14:textId="77777777" w:rsidR="00DF3813" w:rsidRDefault="00DF3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52B8F" w:rsidRDefault="00152B8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52B8F" w:rsidRDefault="00152B8F">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D7A6B"/>
    <w:multiLevelType w:val="hybridMultilevel"/>
    <w:tmpl w:val="48AC3BEC"/>
    <w:lvl w:ilvl="0" w:tplc="F85C7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2B300F"/>
    <w:multiLevelType w:val="hybridMultilevel"/>
    <w:tmpl w:val="DB1ED21C"/>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5607EB"/>
    <w:multiLevelType w:val="hybridMultilevel"/>
    <w:tmpl w:val="8576690E"/>
    <w:lvl w:ilvl="0" w:tplc="DFA0A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B6E727B"/>
    <w:multiLevelType w:val="hybridMultilevel"/>
    <w:tmpl w:val="A4840EC4"/>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552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21" w15:restartNumberingAfterBreak="0">
    <w:nsid w:val="5A53669C"/>
    <w:multiLevelType w:val="hybridMultilevel"/>
    <w:tmpl w:val="305467EE"/>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3562196"/>
    <w:multiLevelType w:val="hybridMultilevel"/>
    <w:tmpl w:val="4F9A178E"/>
    <w:lvl w:ilvl="0" w:tplc="9D2061AE">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2"/>
  </w:num>
  <w:num w:numId="4">
    <w:abstractNumId w:val="15"/>
  </w:num>
  <w:num w:numId="5">
    <w:abstractNumId w:val="27"/>
  </w:num>
  <w:num w:numId="6">
    <w:abstractNumId w:val="0"/>
  </w:num>
  <w:num w:numId="7">
    <w:abstractNumId w:val="4"/>
  </w:num>
  <w:num w:numId="8">
    <w:abstractNumId w:val="22"/>
  </w:num>
  <w:num w:numId="9">
    <w:abstractNumId w:val="31"/>
  </w:num>
  <w:num w:numId="10">
    <w:abstractNumId w:val="19"/>
  </w:num>
  <w:num w:numId="11">
    <w:abstractNumId w:val="18"/>
  </w:num>
  <w:num w:numId="12">
    <w:abstractNumId w:val="16"/>
  </w:num>
  <w:num w:numId="13">
    <w:abstractNumId w:val="20"/>
  </w:num>
  <w:num w:numId="14">
    <w:abstractNumId w:val="23"/>
  </w:num>
  <w:num w:numId="15">
    <w:abstractNumId w:val="28"/>
  </w:num>
  <w:num w:numId="16">
    <w:abstractNumId w:val="6"/>
  </w:num>
  <w:num w:numId="17">
    <w:abstractNumId w:val="3"/>
  </w:num>
  <w:num w:numId="18">
    <w:abstractNumId w:val="19"/>
  </w:num>
  <w:num w:numId="19">
    <w:abstractNumId w:val="9"/>
  </w:num>
  <w:num w:numId="20">
    <w:abstractNumId w:val="33"/>
  </w:num>
  <w:num w:numId="21">
    <w:abstractNumId w:val="26"/>
  </w:num>
  <w:num w:numId="22">
    <w:abstractNumId w:val="30"/>
  </w:num>
  <w:num w:numId="23">
    <w:abstractNumId w:val="7"/>
  </w:num>
  <w:num w:numId="24">
    <w:abstractNumId w:val="1"/>
  </w:num>
  <w:num w:numId="25">
    <w:abstractNumId w:val="2"/>
  </w:num>
  <w:num w:numId="26">
    <w:abstractNumId w:val="29"/>
  </w:num>
  <w:num w:numId="27">
    <w:abstractNumId w:val="17"/>
  </w:num>
  <w:num w:numId="28">
    <w:abstractNumId w:val="12"/>
  </w:num>
  <w:num w:numId="29">
    <w:abstractNumId w:val="19"/>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5"/>
  </w:num>
  <w:num w:numId="33">
    <w:abstractNumId w:val="10"/>
  </w:num>
  <w:num w:numId="34">
    <w:abstractNumId w:val="14"/>
  </w:num>
  <w:num w:numId="35">
    <w:abstractNumId w:val="21"/>
  </w:num>
  <w:num w:numId="36">
    <w:abstractNumId w:val="11"/>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518"/>
    <w:rsid w:val="00001F98"/>
    <w:rsid w:val="00005D3B"/>
    <w:rsid w:val="00007163"/>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5828"/>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4E7E"/>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0160"/>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677A"/>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0F12"/>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2047"/>
    <w:rsid w:val="006B4B60"/>
    <w:rsid w:val="006B5FC4"/>
    <w:rsid w:val="006B7E91"/>
    <w:rsid w:val="006C3E4A"/>
    <w:rsid w:val="006D2D25"/>
    <w:rsid w:val="006D5CA0"/>
    <w:rsid w:val="006D6064"/>
    <w:rsid w:val="006D7E82"/>
    <w:rsid w:val="006E00E0"/>
    <w:rsid w:val="006E4AA8"/>
    <w:rsid w:val="006E6CD7"/>
    <w:rsid w:val="006E7720"/>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C3D5C"/>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84421"/>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905"/>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3813"/>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4253"/>
    <w:rsid w:val="00F05047"/>
    <w:rsid w:val="00F06EC9"/>
    <w:rsid w:val="00F1055A"/>
    <w:rsid w:val="00F10EE6"/>
    <w:rsid w:val="00F12877"/>
    <w:rsid w:val="00F15E81"/>
    <w:rsid w:val="00F2006D"/>
    <w:rsid w:val="00F207A4"/>
    <w:rsid w:val="00F21A45"/>
    <w:rsid w:val="00F253D7"/>
    <w:rsid w:val="00F27ADA"/>
    <w:rsid w:val="00F30E26"/>
    <w:rsid w:val="00F32081"/>
    <w:rsid w:val="00F32B73"/>
    <w:rsid w:val="00F332EF"/>
    <w:rsid w:val="00F34CB2"/>
    <w:rsid w:val="00F356C2"/>
    <w:rsid w:val="00F37F6E"/>
    <w:rsid w:val="00F40E2A"/>
    <w:rsid w:val="00F43C87"/>
    <w:rsid w:val="00F440B7"/>
    <w:rsid w:val="00F440FD"/>
    <w:rsid w:val="00F458B7"/>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84F9C"/>
    <w:rsid w:val="00F853B9"/>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828"/>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tabs>
        <w:tab w:val="num" w:pos="360"/>
      </w:tabs>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uiPriority w:val="99"/>
    <w:semiHidden/>
    <w:rsid w:val="0083240D"/>
    <w:rPr>
      <w:sz w:val="16"/>
      <w:szCs w:val="16"/>
    </w:rPr>
  </w:style>
  <w:style w:type="paragraph" w:styleId="CommentText">
    <w:name w:val="annotation text"/>
    <w:basedOn w:val="Normal"/>
    <w:link w:val="CommentTextChar"/>
    <w:uiPriority w:val="99"/>
    <w:rsid w:val="0083240D"/>
  </w:style>
  <w:style w:type="character" w:customStyle="1" w:styleId="CommentTextChar">
    <w:name w:val="Comment Text Char"/>
    <w:basedOn w:val="DefaultParagraphFont"/>
    <w:link w:val="CommentText"/>
    <w:uiPriority w:val="99"/>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uiPriority w:val="22"/>
    <w:qFormat/>
    <w:rsid w:val="0072343F"/>
    <w:rPr>
      <w:b/>
      <w:bCs/>
    </w:rPr>
  </w:style>
  <w:style w:type="character" w:customStyle="1" w:styleId="Heading4Char">
    <w:name w:val="Heading 4 Char"/>
    <w:basedOn w:val="DefaultParagraphFont"/>
    <w:link w:val="Heading4"/>
    <w:semiHidden/>
    <w:rsid w:val="00F10EE6"/>
    <w:rPr>
      <w:rFonts w:asciiTheme="majorHAnsi" w:eastAsiaTheme="majorEastAsia" w:hAnsiTheme="majorHAnsi" w:cstheme="majorBidi"/>
      <w:b/>
      <w:bCs/>
      <w:sz w:val="28"/>
      <w:szCs w:val="28"/>
    </w:rPr>
  </w:style>
  <w:style w:type="paragraph" w:styleId="CommentSubject">
    <w:name w:val="annotation subject"/>
    <w:basedOn w:val="CommentText"/>
    <w:next w:val="CommentText"/>
    <w:link w:val="CommentSubjectChar"/>
    <w:semiHidden/>
    <w:unhideWhenUsed/>
    <w:rsid w:val="00222D14"/>
    <w:pPr>
      <w:jc w:val="left"/>
    </w:pPr>
    <w:rPr>
      <w:b/>
      <w:bCs/>
    </w:rPr>
  </w:style>
  <w:style w:type="character" w:customStyle="1" w:styleId="CommentSubjectChar">
    <w:name w:val="Comment Subject Char"/>
    <w:basedOn w:val="CommentTextChar"/>
    <w:link w:val="CommentSubject"/>
    <w:semiHidden/>
    <w:rsid w:val="00222D14"/>
    <w:rPr>
      <w:b/>
      <w:bCs/>
      <w:sz w:val="22"/>
    </w:rPr>
  </w:style>
  <w:style w:type="paragraph" w:styleId="Revision">
    <w:name w:val="Revision"/>
    <w:hidden/>
    <w:uiPriority w:val="99"/>
    <w:semiHidden/>
    <w:rsid w:val="00367504"/>
    <w:rPr>
      <w:sz w:val="22"/>
    </w:rPr>
  </w:style>
  <w:style w:type="paragraph" w:customStyle="1" w:styleId="Doc-text2">
    <w:name w:val="Doc-text2"/>
    <w:basedOn w:val="Normal"/>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character" w:styleId="Hyperlink">
    <w:name w:val="Hyperlink"/>
    <w:qFormat/>
    <w:rsid w:val="003C456B"/>
    <w:rPr>
      <w:color w:val="0000FF"/>
      <w:u w:val="single"/>
    </w:rPr>
  </w:style>
  <w:style w:type="paragraph" w:customStyle="1" w:styleId="B1">
    <w:name w:val="B1"/>
    <w:basedOn w:val="List"/>
    <w:link w:val="B1Char1"/>
    <w:qFormat/>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List">
    <w:name w:val="List"/>
    <w:basedOn w:val="Normal"/>
    <w:semiHidden/>
    <w:unhideWhenUsed/>
    <w:rsid w:val="0088640C"/>
    <w:pPr>
      <w:ind w:left="200" w:hangingChars="200" w:hanging="200"/>
      <w:contextualSpacing/>
    </w:pPr>
  </w:style>
  <w:style w:type="paragraph" w:customStyle="1" w:styleId="EmailDiscussion">
    <w:name w:val="EmailDiscussion"/>
    <w:basedOn w:val="Normal"/>
    <w:next w:val="Normal"/>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List2"/>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List3"/>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List2">
    <w:name w:val="List 2"/>
    <w:basedOn w:val="Normal"/>
    <w:semiHidden/>
    <w:unhideWhenUsed/>
    <w:rsid w:val="00430423"/>
    <w:pPr>
      <w:ind w:leftChars="200" w:left="100" w:hangingChars="200" w:hanging="200"/>
      <w:contextualSpacing/>
    </w:pPr>
  </w:style>
  <w:style w:type="paragraph" w:styleId="List3">
    <w:name w:val="List 3"/>
    <w:basedOn w:val="Normal"/>
    <w:semiHidden/>
    <w:unhideWhenUsed/>
    <w:rsid w:val="00430423"/>
    <w:pPr>
      <w:ind w:leftChars="400" w:left="100" w:hangingChars="200" w:hanging="200"/>
      <w:contextualSpacing/>
    </w:pPr>
  </w:style>
  <w:style w:type="paragraph" w:customStyle="1" w:styleId="Comments">
    <w:name w:val="Comments"/>
    <w:basedOn w:val="Normal"/>
    <w:link w:val="CommentsChar"/>
    <w:qFormat/>
    <w:rsid w:val="00C544C2"/>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sid w:val="00C544C2"/>
    <w:rPr>
      <w:rFonts w:ascii="Arial" w:eastAsia="MS Mincho" w:hAnsi="Arial"/>
      <w:i/>
      <w:sz w:val="18"/>
      <w:szCs w:val="24"/>
      <w:lang w:val="en-GB" w:eastAsia="en-GB"/>
    </w:rPr>
  </w:style>
  <w:style w:type="character" w:customStyle="1" w:styleId="PLChar">
    <w:name w:val="PL Char"/>
    <w:link w:val="PL"/>
    <w:qFormat/>
    <w:locked/>
    <w:rsid w:val="00D56095"/>
    <w:rPr>
      <w:rFonts w:ascii="Courier New" w:eastAsia="Times New Roman" w:hAnsi="Courier New" w:cs="Courier New"/>
      <w:noProof/>
      <w:sz w:val="16"/>
    </w:rPr>
  </w:style>
  <w:style w:type="paragraph" w:customStyle="1" w:styleId="PL">
    <w:name w:val="PL"/>
    <w:link w:val="PLChar"/>
    <w:qFormat/>
    <w:rsid w:val="00D5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B1Char">
    <w:name w:val="B1 Char"/>
    <w:basedOn w:val="DefaultParagraphFont"/>
    <w:rsid w:val="004573AC"/>
    <w:rPr>
      <w:lang w:val="en-GB" w:eastAsia="ja-JP" w:bidi="ar-SA"/>
    </w:rPr>
  </w:style>
  <w:style w:type="paragraph" w:customStyle="1" w:styleId="NO">
    <w:name w:val="NO"/>
    <w:basedOn w:val="Normal"/>
    <w:link w:val="NOChar"/>
    <w:qFormat/>
    <w:rsid w:val="00C256A3"/>
    <w:pPr>
      <w:keepLines/>
      <w:spacing w:line="240" w:lineRule="auto"/>
      <w:ind w:left="1135" w:hanging="851"/>
      <w:jc w:val="left"/>
    </w:pPr>
    <w:rPr>
      <w:rFonts w:eastAsiaTheme="minorEastAsia"/>
      <w:sz w:val="20"/>
      <w:lang w:val="en-GB" w:eastAsia="en-US"/>
    </w:rPr>
  </w:style>
  <w:style w:type="character" w:customStyle="1" w:styleId="NOChar">
    <w:name w:val="NO Char"/>
    <w:link w:val="NO"/>
    <w:qFormat/>
    <w:rsid w:val="00013FBA"/>
    <w:rPr>
      <w:rFonts w:eastAsiaTheme="minorEastAsia"/>
      <w:lang w:val="en-GB" w:eastAsia="en-US"/>
    </w:rPr>
  </w:style>
  <w:style w:type="paragraph" w:customStyle="1" w:styleId="B4">
    <w:name w:val="B4"/>
    <w:basedOn w:val="List4"/>
    <w:link w:val="B4Char"/>
    <w:qFormat/>
    <w:rsid w:val="00013FBA"/>
    <w:pPr>
      <w:spacing w:line="240" w:lineRule="auto"/>
      <w:ind w:leftChars="0" w:left="1418" w:firstLineChars="0" w:hanging="284"/>
      <w:contextualSpacing w:val="0"/>
      <w:jc w:val="left"/>
    </w:pPr>
    <w:rPr>
      <w:rFonts w:eastAsia="Times New Roman"/>
      <w:sz w:val="20"/>
      <w:lang w:val="en-GB" w:eastAsia="ja-JP"/>
    </w:rPr>
  </w:style>
  <w:style w:type="character" w:customStyle="1" w:styleId="B4Char">
    <w:name w:val="B4 Char"/>
    <w:link w:val="B4"/>
    <w:qFormat/>
    <w:rsid w:val="00013FBA"/>
    <w:rPr>
      <w:rFonts w:eastAsia="Times New Roman"/>
      <w:lang w:val="en-GB" w:eastAsia="ja-JP"/>
    </w:rPr>
  </w:style>
  <w:style w:type="paragraph" w:customStyle="1" w:styleId="B5">
    <w:name w:val="B5"/>
    <w:basedOn w:val="List5"/>
    <w:link w:val="B5Char"/>
    <w:qFormat/>
    <w:rsid w:val="00013FBA"/>
    <w:pPr>
      <w:spacing w:line="240" w:lineRule="auto"/>
      <w:ind w:leftChars="0" w:left="1702" w:firstLineChars="0" w:hanging="284"/>
      <w:contextualSpacing w:val="0"/>
      <w:jc w:val="left"/>
    </w:pPr>
    <w:rPr>
      <w:rFonts w:eastAsia="Times New Roman"/>
      <w:sz w:val="20"/>
      <w:lang w:val="en-GB" w:eastAsia="ja-JP"/>
    </w:rPr>
  </w:style>
  <w:style w:type="character" w:customStyle="1" w:styleId="B5Char">
    <w:name w:val="B5 Char"/>
    <w:link w:val="B5"/>
    <w:qFormat/>
    <w:rsid w:val="00013FBA"/>
    <w:rPr>
      <w:rFonts w:eastAsia="Times New Roman"/>
      <w:lang w:val="en-GB" w:eastAsia="ja-JP"/>
    </w:rPr>
  </w:style>
  <w:style w:type="paragraph" w:styleId="List4">
    <w:name w:val="List 4"/>
    <w:basedOn w:val="Normal"/>
    <w:rsid w:val="00013FBA"/>
    <w:pPr>
      <w:ind w:leftChars="600" w:left="100" w:hangingChars="200" w:hanging="200"/>
      <w:contextualSpacing/>
    </w:pPr>
  </w:style>
  <w:style w:type="paragraph" w:styleId="List5">
    <w:name w:val="List 5"/>
    <w:basedOn w:val="Normal"/>
    <w:rsid w:val="00013FBA"/>
    <w:pPr>
      <w:ind w:leftChars="800" w:left="100" w:hangingChars="200" w:hanging="200"/>
      <w:contextualSpacing/>
    </w:pPr>
  </w:style>
  <w:style w:type="paragraph" w:customStyle="1" w:styleId="TAH">
    <w:name w:val="TAH"/>
    <w:basedOn w:val="Normal"/>
    <w:link w:val="TAHCar"/>
    <w:qFormat/>
    <w:rsid w:val="00DE4760"/>
    <w:pPr>
      <w:keepNext/>
      <w:keepLines/>
      <w:spacing w:after="0" w:line="240" w:lineRule="auto"/>
      <w:jc w:val="center"/>
    </w:pPr>
    <w:rPr>
      <w:rFonts w:ascii="Arial" w:eastAsia="Times New Roman" w:hAnsi="Arial"/>
      <w:b/>
      <w:sz w:val="18"/>
      <w:lang w:val="en-GB" w:eastAsia="ja-JP"/>
    </w:rPr>
  </w:style>
  <w:style w:type="paragraph" w:customStyle="1" w:styleId="TAL">
    <w:name w:val="TAL"/>
    <w:basedOn w:val="Normal"/>
    <w:link w:val="TALCar"/>
    <w:qFormat/>
    <w:rsid w:val="00DE4760"/>
    <w:pPr>
      <w:keepNext/>
      <w:keepLines/>
      <w:spacing w:after="0" w:line="240" w:lineRule="auto"/>
      <w:jc w:val="left"/>
    </w:pPr>
    <w:rPr>
      <w:rFonts w:ascii="Arial" w:eastAsia="Times New Roman" w:hAnsi="Arial"/>
      <w:sz w:val="18"/>
      <w:lang w:val="en-GB" w:eastAsia="ja-JP"/>
    </w:rPr>
  </w:style>
  <w:style w:type="character" w:customStyle="1" w:styleId="TALCar">
    <w:name w:val="TAL Car"/>
    <w:link w:val="TAL"/>
    <w:qFormat/>
    <w:rsid w:val="00DE4760"/>
    <w:rPr>
      <w:rFonts w:ascii="Arial" w:eastAsia="Times New Roman" w:hAnsi="Arial"/>
      <w:sz w:val="18"/>
      <w:lang w:val="en-GB" w:eastAsia="ja-JP"/>
    </w:rPr>
  </w:style>
  <w:style w:type="character" w:customStyle="1" w:styleId="TAHCar">
    <w:name w:val="TAH Car"/>
    <w:link w:val="TAH"/>
    <w:qFormat/>
    <w:locked/>
    <w:rsid w:val="00DE4760"/>
    <w:rPr>
      <w:rFonts w:ascii="Arial" w:eastAsia="Times New Roman" w:hAnsi="Arial"/>
      <w:b/>
      <w:sz w:val="18"/>
      <w:lang w:val="en-GB" w:eastAsia="ja-JP"/>
    </w:rPr>
  </w:style>
  <w:style w:type="paragraph" w:customStyle="1" w:styleId="TH">
    <w:name w:val="TH"/>
    <w:basedOn w:val="Normal"/>
    <w:link w:val="THChar"/>
    <w:rsid w:val="00DE4760"/>
    <w:pPr>
      <w:keepNext/>
      <w:keepLines/>
      <w:spacing w:before="60" w:line="240" w:lineRule="auto"/>
      <w:jc w:val="center"/>
    </w:pPr>
    <w:rPr>
      <w:rFonts w:ascii="Arial" w:eastAsia="Times New Roman" w:hAnsi="Arial"/>
      <w:b/>
      <w:sz w:val="20"/>
      <w:lang w:val="en-GB" w:eastAsia="ja-JP"/>
    </w:rPr>
  </w:style>
  <w:style w:type="character" w:customStyle="1" w:styleId="THChar">
    <w:name w:val="TH Char"/>
    <w:link w:val="TH"/>
    <w:qFormat/>
    <w:rsid w:val="00DE4760"/>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341901971">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678240878">
      <w:bodyDiv w:val="1"/>
      <w:marLeft w:val="0"/>
      <w:marRight w:val="0"/>
      <w:marTop w:val="0"/>
      <w:marBottom w:val="0"/>
      <w:divBdr>
        <w:top w:val="none" w:sz="0" w:space="0" w:color="auto"/>
        <w:left w:val="none" w:sz="0" w:space="0" w:color="auto"/>
        <w:bottom w:val="none" w:sz="0" w:space="0" w:color="auto"/>
        <w:right w:val="none" w:sz="0" w:space="0" w:color="auto"/>
      </w:divBdr>
    </w:div>
    <w:div w:id="686517001">
      <w:bodyDiv w:val="1"/>
      <w:marLeft w:val="0"/>
      <w:marRight w:val="0"/>
      <w:marTop w:val="0"/>
      <w:marBottom w:val="0"/>
      <w:divBdr>
        <w:top w:val="none" w:sz="0" w:space="0" w:color="auto"/>
        <w:left w:val="none" w:sz="0" w:space="0" w:color="auto"/>
        <w:bottom w:val="none" w:sz="0" w:space="0" w:color="auto"/>
        <w:right w:val="none" w:sz="0" w:space="0" w:color="auto"/>
      </w:divBdr>
    </w:div>
    <w:div w:id="735199260">
      <w:bodyDiv w:val="1"/>
      <w:marLeft w:val="0"/>
      <w:marRight w:val="0"/>
      <w:marTop w:val="0"/>
      <w:marBottom w:val="0"/>
      <w:divBdr>
        <w:top w:val="none" w:sz="0" w:space="0" w:color="auto"/>
        <w:left w:val="none" w:sz="0" w:space="0" w:color="auto"/>
        <w:bottom w:val="none" w:sz="0" w:space="0" w:color="auto"/>
        <w:right w:val="none" w:sz="0" w:space="0" w:color="auto"/>
      </w:divBdr>
    </w:div>
    <w:div w:id="821583977">
      <w:bodyDiv w:val="1"/>
      <w:marLeft w:val="0"/>
      <w:marRight w:val="0"/>
      <w:marTop w:val="0"/>
      <w:marBottom w:val="0"/>
      <w:divBdr>
        <w:top w:val="none" w:sz="0" w:space="0" w:color="auto"/>
        <w:left w:val="none" w:sz="0" w:space="0" w:color="auto"/>
        <w:bottom w:val="none" w:sz="0" w:space="0" w:color="auto"/>
        <w:right w:val="none" w:sz="0" w:space="0" w:color="auto"/>
      </w:divBdr>
      <w:divsChild>
        <w:div w:id="1692872725">
          <w:marLeft w:val="0"/>
          <w:marRight w:val="0"/>
          <w:marTop w:val="0"/>
          <w:marBottom w:val="0"/>
          <w:divBdr>
            <w:top w:val="none" w:sz="0" w:space="0" w:color="auto"/>
            <w:left w:val="none" w:sz="0" w:space="0" w:color="auto"/>
            <w:bottom w:val="none" w:sz="0" w:space="0" w:color="auto"/>
            <w:right w:val="none" w:sz="0" w:space="0" w:color="auto"/>
          </w:divBdr>
          <w:divsChild>
            <w:div w:id="1346664839">
              <w:marLeft w:val="0"/>
              <w:marRight w:val="0"/>
              <w:marTop w:val="0"/>
              <w:marBottom w:val="0"/>
              <w:divBdr>
                <w:top w:val="none" w:sz="0" w:space="0" w:color="auto"/>
                <w:left w:val="none" w:sz="0" w:space="0" w:color="auto"/>
                <w:bottom w:val="none" w:sz="0" w:space="0" w:color="auto"/>
                <w:right w:val="none" w:sz="0" w:space="0" w:color="auto"/>
              </w:divBdr>
              <w:divsChild>
                <w:div w:id="390467130">
                  <w:marLeft w:val="0"/>
                  <w:marRight w:val="0"/>
                  <w:marTop w:val="0"/>
                  <w:marBottom w:val="0"/>
                  <w:divBdr>
                    <w:top w:val="none" w:sz="0" w:space="0" w:color="auto"/>
                    <w:left w:val="none" w:sz="0" w:space="0" w:color="auto"/>
                    <w:bottom w:val="none" w:sz="0" w:space="0" w:color="auto"/>
                    <w:right w:val="none" w:sz="0" w:space="0" w:color="auto"/>
                  </w:divBdr>
                  <w:divsChild>
                    <w:div w:id="1750152033">
                      <w:marLeft w:val="0"/>
                      <w:marRight w:val="0"/>
                      <w:marTop w:val="0"/>
                      <w:marBottom w:val="0"/>
                      <w:divBdr>
                        <w:top w:val="none" w:sz="0" w:space="0" w:color="auto"/>
                        <w:left w:val="none" w:sz="0" w:space="0" w:color="auto"/>
                        <w:bottom w:val="none" w:sz="0" w:space="0" w:color="auto"/>
                        <w:right w:val="none" w:sz="0" w:space="0" w:color="auto"/>
                      </w:divBdr>
                      <w:divsChild>
                        <w:div w:id="912395481">
                          <w:marLeft w:val="0"/>
                          <w:marRight w:val="0"/>
                          <w:marTop w:val="0"/>
                          <w:marBottom w:val="0"/>
                          <w:divBdr>
                            <w:top w:val="none" w:sz="0" w:space="0" w:color="auto"/>
                            <w:left w:val="none" w:sz="0" w:space="0" w:color="auto"/>
                            <w:bottom w:val="none" w:sz="0" w:space="0" w:color="auto"/>
                            <w:right w:val="none" w:sz="0" w:space="0" w:color="auto"/>
                          </w:divBdr>
                          <w:divsChild>
                            <w:div w:id="1767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37911293">
      <w:bodyDiv w:val="1"/>
      <w:marLeft w:val="0"/>
      <w:marRight w:val="0"/>
      <w:marTop w:val="0"/>
      <w:marBottom w:val="0"/>
      <w:divBdr>
        <w:top w:val="none" w:sz="0" w:space="0" w:color="auto"/>
        <w:left w:val="none" w:sz="0" w:space="0" w:color="auto"/>
        <w:bottom w:val="none" w:sz="0" w:space="0" w:color="auto"/>
        <w:right w:val="none" w:sz="0" w:space="0" w:color="auto"/>
      </w:divBdr>
      <w:divsChild>
        <w:div w:id="550306023">
          <w:marLeft w:val="0"/>
          <w:marRight w:val="0"/>
          <w:marTop w:val="0"/>
          <w:marBottom w:val="0"/>
          <w:divBdr>
            <w:top w:val="none" w:sz="0" w:space="0" w:color="auto"/>
            <w:left w:val="none" w:sz="0" w:space="0" w:color="auto"/>
            <w:bottom w:val="none" w:sz="0" w:space="0" w:color="auto"/>
            <w:right w:val="none" w:sz="0" w:space="0" w:color="auto"/>
          </w:divBdr>
          <w:divsChild>
            <w:div w:id="157814439">
              <w:marLeft w:val="0"/>
              <w:marRight w:val="0"/>
              <w:marTop w:val="0"/>
              <w:marBottom w:val="0"/>
              <w:divBdr>
                <w:top w:val="none" w:sz="0" w:space="0" w:color="auto"/>
                <w:left w:val="none" w:sz="0" w:space="0" w:color="auto"/>
                <w:bottom w:val="none" w:sz="0" w:space="0" w:color="auto"/>
                <w:right w:val="none" w:sz="0" w:space="0" w:color="auto"/>
              </w:divBdr>
              <w:divsChild>
                <w:div w:id="1831403523">
                  <w:marLeft w:val="0"/>
                  <w:marRight w:val="0"/>
                  <w:marTop w:val="0"/>
                  <w:marBottom w:val="0"/>
                  <w:divBdr>
                    <w:top w:val="none" w:sz="0" w:space="0" w:color="auto"/>
                    <w:left w:val="none" w:sz="0" w:space="0" w:color="auto"/>
                    <w:bottom w:val="none" w:sz="0" w:space="0" w:color="auto"/>
                    <w:right w:val="none" w:sz="0" w:space="0" w:color="auto"/>
                  </w:divBdr>
                  <w:divsChild>
                    <w:div w:id="2036955154">
                      <w:marLeft w:val="0"/>
                      <w:marRight w:val="0"/>
                      <w:marTop w:val="0"/>
                      <w:marBottom w:val="0"/>
                      <w:divBdr>
                        <w:top w:val="none" w:sz="0" w:space="0" w:color="auto"/>
                        <w:left w:val="none" w:sz="0" w:space="0" w:color="auto"/>
                        <w:bottom w:val="none" w:sz="0" w:space="0" w:color="auto"/>
                        <w:right w:val="none" w:sz="0" w:space="0" w:color="auto"/>
                      </w:divBdr>
                      <w:divsChild>
                        <w:div w:id="1984577010">
                          <w:marLeft w:val="0"/>
                          <w:marRight w:val="0"/>
                          <w:marTop w:val="0"/>
                          <w:marBottom w:val="0"/>
                          <w:divBdr>
                            <w:top w:val="none" w:sz="0" w:space="0" w:color="auto"/>
                            <w:left w:val="none" w:sz="0" w:space="0" w:color="auto"/>
                            <w:bottom w:val="none" w:sz="0" w:space="0" w:color="auto"/>
                            <w:right w:val="none" w:sz="0" w:space="0" w:color="auto"/>
                          </w:divBdr>
                          <w:divsChild>
                            <w:div w:id="12092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298756500">
      <w:bodyDiv w:val="1"/>
      <w:marLeft w:val="0"/>
      <w:marRight w:val="0"/>
      <w:marTop w:val="0"/>
      <w:marBottom w:val="0"/>
      <w:divBdr>
        <w:top w:val="none" w:sz="0" w:space="0" w:color="auto"/>
        <w:left w:val="none" w:sz="0" w:space="0" w:color="auto"/>
        <w:bottom w:val="none" w:sz="0" w:space="0" w:color="auto"/>
        <w:right w:val="none" w:sz="0" w:space="0" w:color="auto"/>
      </w:divBdr>
    </w:div>
    <w:div w:id="1381436530">
      <w:bodyDiv w:val="1"/>
      <w:marLeft w:val="0"/>
      <w:marRight w:val="0"/>
      <w:marTop w:val="0"/>
      <w:marBottom w:val="0"/>
      <w:divBdr>
        <w:top w:val="none" w:sz="0" w:space="0" w:color="auto"/>
        <w:left w:val="none" w:sz="0" w:space="0" w:color="auto"/>
        <w:bottom w:val="none" w:sz="0" w:space="0" w:color="auto"/>
        <w:right w:val="none" w:sz="0" w:space="0" w:color="auto"/>
      </w:divBdr>
      <w:divsChild>
        <w:div w:id="1580599302">
          <w:marLeft w:val="0"/>
          <w:marRight w:val="0"/>
          <w:marTop w:val="0"/>
          <w:marBottom w:val="0"/>
          <w:divBdr>
            <w:top w:val="none" w:sz="0" w:space="0" w:color="auto"/>
            <w:left w:val="none" w:sz="0" w:space="0" w:color="auto"/>
            <w:bottom w:val="none" w:sz="0" w:space="0" w:color="auto"/>
            <w:right w:val="none" w:sz="0" w:space="0" w:color="auto"/>
          </w:divBdr>
          <w:divsChild>
            <w:div w:id="1357198949">
              <w:marLeft w:val="0"/>
              <w:marRight w:val="0"/>
              <w:marTop w:val="0"/>
              <w:marBottom w:val="0"/>
              <w:divBdr>
                <w:top w:val="none" w:sz="0" w:space="0" w:color="auto"/>
                <w:left w:val="none" w:sz="0" w:space="0" w:color="auto"/>
                <w:bottom w:val="none" w:sz="0" w:space="0" w:color="auto"/>
                <w:right w:val="none" w:sz="0" w:space="0" w:color="auto"/>
              </w:divBdr>
              <w:divsChild>
                <w:div w:id="1008866658">
                  <w:marLeft w:val="0"/>
                  <w:marRight w:val="0"/>
                  <w:marTop w:val="0"/>
                  <w:marBottom w:val="0"/>
                  <w:divBdr>
                    <w:top w:val="none" w:sz="0" w:space="0" w:color="auto"/>
                    <w:left w:val="none" w:sz="0" w:space="0" w:color="auto"/>
                    <w:bottom w:val="none" w:sz="0" w:space="0" w:color="auto"/>
                    <w:right w:val="none" w:sz="0" w:space="0" w:color="auto"/>
                  </w:divBdr>
                  <w:divsChild>
                    <w:div w:id="761607533">
                      <w:marLeft w:val="0"/>
                      <w:marRight w:val="0"/>
                      <w:marTop w:val="0"/>
                      <w:marBottom w:val="0"/>
                      <w:divBdr>
                        <w:top w:val="none" w:sz="0" w:space="0" w:color="auto"/>
                        <w:left w:val="none" w:sz="0" w:space="0" w:color="auto"/>
                        <w:bottom w:val="none" w:sz="0" w:space="0" w:color="auto"/>
                        <w:right w:val="none" w:sz="0" w:space="0" w:color="auto"/>
                      </w:divBdr>
                      <w:divsChild>
                        <w:div w:id="2124877586">
                          <w:marLeft w:val="0"/>
                          <w:marRight w:val="0"/>
                          <w:marTop w:val="0"/>
                          <w:marBottom w:val="0"/>
                          <w:divBdr>
                            <w:top w:val="none" w:sz="0" w:space="0" w:color="auto"/>
                            <w:left w:val="none" w:sz="0" w:space="0" w:color="auto"/>
                            <w:bottom w:val="none" w:sz="0" w:space="0" w:color="auto"/>
                            <w:right w:val="none" w:sz="0" w:space="0" w:color="auto"/>
                          </w:divBdr>
                          <w:divsChild>
                            <w:div w:id="1874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08404415">
      <w:bodyDiv w:val="1"/>
      <w:marLeft w:val="0"/>
      <w:marRight w:val="0"/>
      <w:marTop w:val="0"/>
      <w:marBottom w:val="0"/>
      <w:divBdr>
        <w:top w:val="none" w:sz="0" w:space="0" w:color="auto"/>
        <w:left w:val="none" w:sz="0" w:space="0" w:color="auto"/>
        <w:bottom w:val="none" w:sz="0" w:space="0" w:color="auto"/>
        <w:right w:val="none" w:sz="0" w:space="0" w:color="auto"/>
      </w:divBdr>
    </w:div>
    <w:div w:id="1520771771">
      <w:bodyDiv w:val="1"/>
      <w:marLeft w:val="0"/>
      <w:marRight w:val="0"/>
      <w:marTop w:val="0"/>
      <w:marBottom w:val="0"/>
      <w:divBdr>
        <w:top w:val="none" w:sz="0" w:space="0" w:color="auto"/>
        <w:left w:val="none" w:sz="0" w:space="0" w:color="auto"/>
        <w:bottom w:val="none" w:sz="0" w:space="0" w:color="auto"/>
        <w:right w:val="none" w:sz="0" w:space="0" w:color="auto"/>
      </w:divBdr>
    </w:div>
    <w:div w:id="1536652357">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850096118">
      <w:bodyDiv w:val="1"/>
      <w:marLeft w:val="0"/>
      <w:marRight w:val="0"/>
      <w:marTop w:val="0"/>
      <w:marBottom w:val="0"/>
      <w:divBdr>
        <w:top w:val="none" w:sz="0" w:space="0" w:color="auto"/>
        <w:left w:val="none" w:sz="0" w:space="0" w:color="auto"/>
        <w:bottom w:val="none" w:sz="0" w:space="0" w:color="auto"/>
        <w:right w:val="none" w:sz="0" w:space="0" w:color="auto"/>
      </w:divBdr>
    </w:div>
    <w:div w:id="1981350084">
      <w:bodyDiv w:val="1"/>
      <w:marLeft w:val="0"/>
      <w:marRight w:val="0"/>
      <w:marTop w:val="0"/>
      <w:marBottom w:val="0"/>
      <w:divBdr>
        <w:top w:val="none" w:sz="0" w:space="0" w:color="auto"/>
        <w:left w:val="none" w:sz="0" w:space="0" w:color="auto"/>
        <w:bottom w:val="none" w:sz="0" w:space="0" w:color="auto"/>
        <w:right w:val="none" w:sz="0" w:space="0" w:color="auto"/>
      </w:divBdr>
    </w:div>
    <w:div w:id="2004234705">
      <w:bodyDiv w:val="1"/>
      <w:marLeft w:val="0"/>
      <w:marRight w:val="0"/>
      <w:marTop w:val="0"/>
      <w:marBottom w:val="0"/>
      <w:divBdr>
        <w:top w:val="none" w:sz="0" w:space="0" w:color="auto"/>
        <w:left w:val="none" w:sz="0" w:space="0" w:color="auto"/>
        <w:bottom w:val="none" w:sz="0" w:space="0" w:color="auto"/>
        <w:right w:val="none" w:sz="0" w:space="0" w:color="auto"/>
      </w:divBdr>
    </w:div>
    <w:div w:id="2061902112">
      <w:bodyDiv w:val="1"/>
      <w:marLeft w:val="0"/>
      <w:marRight w:val="0"/>
      <w:marTop w:val="0"/>
      <w:marBottom w:val="0"/>
      <w:divBdr>
        <w:top w:val="none" w:sz="0" w:space="0" w:color="auto"/>
        <w:left w:val="none" w:sz="0" w:space="0" w:color="auto"/>
        <w:bottom w:val="none" w:sz="0" w:space="0" w:color="auto"/>
        <w:right w:val="none" w:sz="0" w:space="0" w:color="auto"/>
      </w:divBdr>
    </w:div>
    <w:div w:id="2069649273">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CC121-4441-46AD-BC1A-08C6ACF2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206</TotalTime>
  <Pages>4</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(Marcin)</cp:lastModifiedBy>
  <cp:revision>58</cp:revision>
  <dcterms:created xsi:type="dcterms:W3CDTF">2025-08-11T08:19:00Z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ies>
</file>